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小标宋简体" w:cs="Times New Roman"/>
          <w:bCs/>
          <w:snapToGrid w:val="0"/>
          <w:kern w:val="0"/>
          <w:sz w:val="44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kern w:val="0"/>
          <w:sz w:val="44"/>
          <w:szCs w:val="32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Cs/>
          <w:snapToGrid w:val="0"/>
          <w:kern w:val="0"/>
          <w:sz w:val="44"/>
          <w:szCs w:val="32"/>
          <w:lang w:val="en-US" w:eastAsia="zh-CN" w:bidi="ar-SA"/>
        </w:rPr>
        <w:t>宿城区发改局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kern w:val="0"/>
          <w:sz w:val="44"/>
          <w:szCs w:val="32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Cs/>
          <w:snapToGrid w:val="0"/>
          <w:kern w:val="0"/>
          <w:sz w:val="44"/>
          <w:szCs w:val="32"/>
          <w:lang w:val="en-US" w:eastAsia="zh-CN" w:bidi="ar-SA"/>
        </w:rPr>
        <w:t>2021年</w:t>
      </w:r>
      <w:r>
        <w:rPr>
          <w:rFonts w:hint="default" w:ascii="Times New Roman" w:hAnsi="Times New Roman" w:eastAsia="方正小标宋简体" w:cs="Times New Roman"/>
          <w:bCs/>
          <w:snapToGrid w:val="0"/>
          <w:kern w:val="0"/>
          <w:sz w:val="44"/>
          <w:szCs w:val="32"/>
          <w:lang w:val="en-US" w:eastAsia="zh-CN" w:bidi="ar-SA"/>
        </w:rPr>
        <w:t>政府信息公开工作年度报告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根据《中华人民共和国政府信息公开条例》（以下简称《条例》）以及国务院和省、市相关文件规定，现公布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宿城区发改局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202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年政府信息公开年度报告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报告中所列数据的统计期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限自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20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年1月1日起至20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年12月31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日止</w:t>
      </w:r>
      <w:r>
        <w:rPr>
          <w:rFonts w:hint="eastAsia" w:cs="Times New Roman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本报告的电子版可在“宿城区人民政府网”（http://www.sqsc.gov.cn/）政府信息公开年报专栏下载。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如对报告有任何疑问，请与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宿城区发改局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办公室联系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联系方式：0527-82960271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联系地址：宿城区成子湖路6号；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邮政编码：223800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电子邮箱：scqfgj928@163.com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宿城区发改局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严格贯彻落实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区政府信息公开工作要求, 围绕加强管理服务公开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助力推进深化改革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加强政策执行公开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助力促进经济发展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加强民生领域公开，助力推进民生改善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加强政策解读回应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扩大公众政务参与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加强制度能力建设，增强政务公开实效等方面，优化工作措施，明确工作责任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不断推进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政府信息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公开工作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稳步向前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履职尽责，不断加强业务学习深度</w:t>
      </w:r>
      <w:r>
        <w:rPr>
          <w:rFonts w:hint="default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宿城区发改局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认真贯彻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国家、省市区出台关于政府信息公开的各项政策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紧紧围绕全局中心工作，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坚持以公开为常态、不公开为例外原则，主动公开各类政府信息。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年为确保政府信息公开工作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高质量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进行，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通过开展 “发改大讲堂”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3345业务提升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“业务大练兵”等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活动，组织学习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《条例》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及相关工作流程并取得了良好成效。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全年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组织定期学习政府信息公开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相关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政策文件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会议精神22次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，将政府信息公开宣传工作落到实处。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积极进取，不断拓展信息公开宽度。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今年以来，</w:t>
      </w:r>
      <w:r>
        <w:rPr>
          <w:rFonts w:hint="eastAsia" w:ascii="Times New Roman" w:hAnsi="Times New Roman" w:eastAsia="仿宋_GB2312" w:cs="Times New Roman"/>
          <w:color w:val="auto"/>
          <w:w w:val="100"/>
          <w:kern w:val="2"/>
          <w:sz w:val="32"/>
          <w:szCs w:val="32"/>
          <w:lang w:val="en-US" w:eastAsia="zh-CN" w:bidi="ar-SA"/>
        </w:rPr>
        <w:t>宿城区发改局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围绕产业集聚、城市经济繁荣、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重大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投资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推进、营商环境、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能耗双控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重点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主动公开政府信息172条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其中政策文件22条，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机构概况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条，计划总结2条，业务信息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条，人事信息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条，财政信息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条，主动公开目录1条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政府投资项目审批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其他信息36条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（三）</w:t>
      </w:r>
      <w:r>
        <w:rPr>
          <w:rFonts w:hint="eastAsia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依法依规，不断提高依申请公开精度</w:t>
      </w:r>
      <w:r>
        <w:rPr>
          <w:rFonts w:hint="default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宿城区发改局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对负责依申请公开工作人员定期培训，掌握依申请公开工作流程，确保政府信息依申请公开工作合法、及时、准确开展。可以当场答复或者提供的，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全部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当场答复或者提供政务信息，不能当场答复或者提供的，按照有关规定，在收到申请之日起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个工作日内予以答复或者提供政务信息。202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年度，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宿城区发改局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共接到政府信息公开申请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例，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主要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集中于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房屋拆迁、土地征收征用和重大项目审批等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方面，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在办理结果方面，同意公开答复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件，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部分公开2件，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申请信息经查询不存在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，所有依申请公开事项均在规定时限内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办理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，答复率为100%。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（四）</w:t>
      </w:r>
      <w:r>
        <w:rPr>
          <w:rFonts w:hint="eastAsia" w:ascii="楷体_GB2312" w:hAnsi="楷体_GB2312" w:eastAsia="楷体_GB2312" w:cs="楷体_GB2312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完善机制，不断加大工作规范力度。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宿城区发改局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进一步健全信息公开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体系，推动《条例》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贯彻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落实。对照《条例》和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政府信息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公开有关文件，调整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制定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宿城区发改局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政府信息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公开工作制度》《信息公开保密审查制度》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对保密审查、信息发布协调、依申请公开办理、政策解读回应、审核纠正等重点事项和关键环节进行明确规范。加强闭环管理，健全制发科室、办公室、分管领导三级审核登记，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室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签定承诺书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确保信息安全性。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同时，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对照政府信息公开标准最新工作要求，第一时间调整公开事项，多次回头看、查不足，不断确保政府信息准确性。及时调整政府信息公开领导小组，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进一步明确工作职责，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办公室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专人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统筹推进政府信息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工作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各科室之间协同配合，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按照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制作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谁负责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的原则，一级抓一级，层层抓落实，确保政府信息公开工作的有序开展。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  <w:t>二、主动公开政府信息情况</w:t>
      </w:r>
    </w:p>
    <w:tbl>
      <w:tblPr>
        <w:tblStyle w:val="11"/>
        <w:tblW w:w="876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16"/>
        <w:gridCol w:w="1872"/>
        <w:gridCol w:w="1584"/>
        <w:gridCol w:w="188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87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第二十条第（一）项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信息内容</w:t>
            </w:r>
          </w:p>
        </w:tc>
        <w:tc>
          <w:tcPr>
            <w:tcW w:w="18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both"/>
              <w:textAlignment w:val="auto"/>
              <w:rPr>
                <w:rFonts w:hint="default" w:ascii="宋体" w:hAnsi="宋体" w:eastAsia="宋体" w:cs="Times New Roman"/>
                <w:color w:val="000000"/>
                <w:sz w:val="24"/>
                <w:szCs w:val="32"/>
                <w:lang w:val="en-US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本年制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发件数</w:t>
            </w:r>
          </w:p>
        </w:tc>
        <w:tc>
          <w:tcPr>
            <w:tcW w:w="15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4"/>
                <w:szCs w:val="32"/>
                <w:lang w:val="en-US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本年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废止件数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现行有效件数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规章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规范性文件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  <w:szCs w:val="32"/>
                <w:lang w:val="en-US" w:eastAsia="zh-CN"/>
              </w:rPr>
              <w:t>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  <w:szCs w:val="32"/>
              </w:rPr>
              <w:t>0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" w:hRule="atLeast"/>
          <w:jc w:val="center"/>
        </w:trPr>
        <w:tc>
          <w:tcPr>
            <w:tcW w:w="87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第二十条第（五）项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信息内容</w:t>
            </w:r>
          </w:p>
        </w:tc>
        <w:tc>
          <w:tcPr>
            <w:tcW w:w="53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本年处理决定数量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行政许可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87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第二十条第（六）项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信息内容</w:t>
            </w:r>
          </w:p>
        </w:tc>
        <w:tc>
          <w:tcPr>
            <w:tcW w:w="53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本年处理决定数量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行政处罚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行政强制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  <w:jc w:val="center"/>
        </w:trPr>
        <w:tc>
          <w:tcPr>
            <w:tcW w:w="87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第二十条第（八）项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信息内容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4"/>
                <w:szCs w:val="32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本年收费金额（单位：万元）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行政事业性收费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  <w:t>三、收到和处理政府信息公开申请情况</w:t>
      </w:r>
    </w:p>
    <w:tbl>
      <w:tblPr>
        <w:tblStyle w:val="11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"/>
        <w:gridCol w:w="829"/>
        <w:gridCol w:w="3555"/>
        <w:gridCol w:w="683"/>
        <w:gridCol w:w="597"/>
        <w:gridCol w:w="635"/>
        <w:gridCol w:w="609"/>
        <w:gridCol w:w="622"/>
        <w:gridCol w:w="587"/>
        <w:gridCol w:w="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79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（本列数据的勾稽关系为：第一项加第二项之和，等于第三项加第四项之和）</w:t>
            </w:r>
          </w:p>
        </w:tc>
        <w:tc>
          <w:tcPr>
            <w:tcW w:w="43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79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自然人</w:t>
            </w:r>
          </w:p>
        </w:tc>
        <w:tc>
          <w:tcPr>
            <w:tcW w:w="3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法人或其他组织</w:t>
            </w:r>
          </w:p>
        </w:tc>
        <w:tc>
          <w:tcPr>
            <w:tcW w:w="6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479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商业企业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科研机构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社会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公益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组织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法律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服务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机构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  <w:t>其他</w:t>
            </w:r>
          </w:p>
        </w:tc>
        <w:tc>
          <w:tcPr>
            <w:tcW w:w="6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一、本年新收政府信息公开申请数量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二、上年结转政府信息公开申请数量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三、本年度办理结果</w:t>
            </w:r>
          </w:p>
        </w:tc>
        <w:tc>
          <w:tcPr>
            <w:tcW w:w="4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（一）予以公开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3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4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（二）部分公开（区分处理的，只计这一情形，不计其他情形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（三）不予公开</w:t>
            </w: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1.属于国家秘密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2.其他法律行政法规禁止公开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3.危及“三安全一稳定”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4.保护第三方合法权益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5.属于三类内部事务信息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6.属于四类过程性信息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7.属于行政执法案卷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8.属于行政查询事项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（四）无法提供</w:t>
            </w: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1.本机关不掌握相关政府信息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2.没有现成信息需要另行制作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3.补正后申请内容仍不明确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（五）不予处理</w:t>
            </w: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1.信访举报投诉类申请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2.重复申请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3.要求提供公开出版物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4.无正当理由大量反复申请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（六）其他处理</w:t>
            </w: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楷体_GBK" w:cs="Times New Roman"/>
                <w:sz w:val="20"/>
                <w:szCs w:val="20"/>
                <w:lang w:val="en-US" w:eastAsia="zh-CN"/>
              </w:rPr>
              <w:t>1.申请人无正当理由逾期不补正、行政机关不再处理其他政府信息公开申请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</w:p>
        </w:tc>
        <w:tc>
          <w:tcPr>
            <w:tcW w:w="3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楷体_GBK" w:cs="Times New Roman"/>
                <w:sz w:val="20"/>
                <w:szCs w:val="20"/>
                <w:lang w:val="en-US" w:eastAsia="zh-CN"/>
              </w:rPr>
              <w:t>2.申请人逾期未按收费通知要求缴纳费用、行政机关不再处理其他政府信息公开申请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8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</w:p>
        </w:tc>
        <w:tc>
          <w:tcPr>
            <w:tcW w:w="3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楷体_GBK" w:cs="Times New Roman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4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</w:rPr>
              <w:t>（七）总计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4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四、结转下年度继续办理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</w:t>
            </w: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  <w:t>四、政府信息公开行政复议、行政诉讼情况</w:t>
      </w:r>
    </w:p>
    <w:p>
      <w:pPr>
        <w:rPr>
          <w:rFonts w:hint="eastAsia"/>
          <w:lang w:val="en-US" w:eastAsia="zh-CN"/>
        </w:rPr>
      </w:pP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9"/>
        <w:gridCol w:w="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行政复议</w:t>
            </w:r>
          </w:p>
        </w:tc>
        <w:tc>
          <w:tcPr>
            <w:tcW w:w="5682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结果维持</w:t>
            </w:r>
          </w:p>
        </w:tc>
        <w:tc>
          <w:tcPr>
            <w:tcW w:w="568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结果纠正</w:t>
            </w:r>
          </w:p>
        </w:tc>
        <w:tc>
          <w:tcPr>
            <w:tcW w:w="568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其他结果</w:t>
            </w:r>
          </w:p>
        </w:tc>
        <w:tc>
          <w:tcPr>
            <w:tcW w:w="568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尚未审结</w:t>
            </w:r>
          </w:p>
        </w:tc>
        <w:tc>
          <w:tcPr>
            <w:tcW w:w="568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总计</w:t>
            </w:r>
          </w:p>
        </w:tc>
        <w:tc>
          <w:tcPr>
            <w:tcW w:w="284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未经复议直接起诉</w:t>
            </w:r>
          </w:p>
        </w:tc>
        <w:tc>
          <w:tcPr>
            <w:tcW w:w="2842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6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6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6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6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结果维持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结果纠正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其他结果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尚未审结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总计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结果维持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结果纠正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其他结果</w:t>
            </w:r>
          </w:p>
        </w:tc>
        <w:tc>
          <w:tcPr>
            <w:tcW w:w="5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尚未审结</w:t>
            </w:r>
          </w:p>
        </w:tc>
        <w:tc>
          <w:tcPr>
            <w:tcW w:w="5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  <w:tc>
          <w:tcPr>
            <w:tcW w:w="5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  <w:tc>
          <w:tcPr>
            <w:tcW w:w="5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  <w:t>五、存在的主要问题及改进情况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w w:val="100"/>
          <w:kern w:val="2"/>
          <w:sz w:val="32"/>
          <w:szCs w:val="32"/>
          <w:lang w:val="en-US" w:eastAsia="zh-CN" w:bidi="ar-SA"/>
        </w:rPr>
        <w:t>2021年宿城区发改局政府信息公开工作虽然取得了一定成效，但与社会公共的需要还存在一定差距。主要体现在：一是政府信息公开的形式单一，多采用文字、表格等形式，且专业性名词较多，不够直观易懂。二是政府信息公开工作人员配备不足，专业化程度有待加强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w w:val="100"/>
          <w:kern w:val="2"/>
          <w:sz w:val="32"/>
          <w:szCs w:val="32"/>
          <w:lang w:val="en-US" w:eastAsia="zh-CN" w:bidi="ar-SA"/>
        </w:rPr>
        <w:t>2022年，宿城区发改局将不断充实信息公开的内容，完善政府信息公开工作体系，提前谋划重点信息公开，满足公众合理需求。一是增加政府信息公开的多样性。采用图表、流程图、插画等形式，及时做好全区重大项目、重点领域发展、重大产业政策等有关信息的发布和解读。二是合理谋划信息公开，制定局政府信息公开计划，明确工作重点和具体要求标准。做好人员调配，组织业务人员仔细研究学习《条例》和省、市、区相关规范文件，并及时与区政府办沟通、学习，确保高质量完成政府信息公开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w w:val="100"/>
          <w:kern w:val="2"/>
          <w:sz w:val="32"/>
          <w:szCs w:val="32"/>
          <w:lang w:val="en-US" w:eastAsia="zh-CN" w:bidi="ar-SA"/>
        </w:rPr>
        <w:t>2021年，</w:t>
      </w:r>
      <w:r>
        <w:rPr>
          <w:rFonts w:hint="eastAsia" w:ascii="Times New Roman" w:hAnsi="Times New Roman" w:eastAsia="仿宋_GB2312" w:cs="Times New Roman"/>
          <w:color w:val="auto"/>
          <w:w w:val="100"/>
          <w:kern w:val="2"/>
          <w:sz w:val="32"/>
          <w:szCs w:val="32"/>
          <w:lang w:val="en-US" w:eastAsia="zh-CN" w:bidi="ar-SA"/>
        </w:rPr>
        <w:t>宿城区发改局</w:t>
      </w:r>
      <w:r>
        <w:rPr>
          <w:rFonts w:hint="default" w:ascii="Times New Roman" w:hAnsi="Times New Roman" w:eastAsia="仿宋_GB2312" w:cs="Times New Roman"/>
          <w:color w:val="auto"/>
          <w:w w:val="100"/>
          <w:kern w:val="2"/>
          <w:sz w:val="32"/>
          <w:szCs w:val="32"/>
          <w:lang w:val="en-US" w:eastAsia="zh-CN" w:bidi="ar-SA"/>
        </w:rPr>
        <w:t>向公民法人和其他组织提供政府信息收费</w:t>
      </w:r>
      <w:r>
        <w:rPr>
          <w:rFonts w:hint="eastAsia" w:ascii="Times New Roman" w:hAnsi="Times New Roman" w:eastAsia="仿宋_GB2312" w:cs="Times New Roman"/>
          <w:color w:val="auto"/>
          <w:w w:val="100"/>
          <w:kern w:val="2"/>
          <w:sz w:val="32"/>
          <w:szCs w:val="32"/>
          <w:lang w:val="en-US" w:eastAsia="zh-CN" w:bidi="ar-SA"/>
        </w:rPr>
        <w:t>共180元，按照规定日期均已缴纳。</w:t>
      </w:r>
      <w:bookmarkStart w:id="0" w:name="_GoBack"/>
      <w:bookmarkEnd w:id="0"/>
    </w:p>
    <w:p>
      <w:pPr>
        <w:pStyle w:val="9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</w:p>
    <w:p>
      <w:pPr>
        <w:pStyle w:val="9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</w:t>
      </w:r>
    </w:p>
    <w:p>
      <w:pPr>
        <w:pStyle w:val="9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 w:firstLineChars="200"/>
        <w:jc w:val="center"/>
        <w:textAlignment w:val="auto"/>
        <w:rPr>
          <w:rFonts w:hint="eastAsia" w:ascii="Times New Roman" w:hAnsi="Times New Roman" w:eastAsia="仿宋_GB2312" w:cs="Times New Roman"/>
          <w:color w:val="auto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Times New Roman" w:hAnsi="Times New Roman" w:eastAsia="仿宋_GB2312" w:cs="Times New Roman"/>
          <w:color w:val="auto"/>
          <w:w w:val="100"/>
          <w:kern w:val="2"/>
          <w:sz w:val="32"/>
          <w:szCs w:val="32"/>
          <w:lang w:val="en-US" w:eastAsia="zh-CN" w:bidi="ar-SA"/>
        </w:rPr>
        <w:t xml:space="preserve">   宿城区发改局</w:t>
      </w:r>
      <w:r>
        <w:rPr>
          <w:rFonts w:hint="eastAsia" w:ascii="Times New Roman" w:hAnsi="Times New Roman" w:eastAsia="仿宋_GB2312" w:cs="Times New Roman"/>
          <w:color w:val="auto"/>
          <w:w w:val="100"/>
          <w:kern w:val="2"/>
          <w:sz w:val="32"/>
          <w:szCs w:val="32"/>
          <w:lang w:val="en-US" w:eastAsia="zh-CN" w:bidi="ar-SA"/>
        </w:rPr>
        <w:tab/>
      </w:r>
    </w:p>
    <w:p>
      <w:pPr>
        <w:pStyle w:val="9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 w:firstLineChars="200"/>
        <w:jc w:val="center"/>
        <w:textAlignment w:val="auto"/>
        <w:rPr>
          <w:rFonts w:hint="eastAsia" w:ascii="Times New Roman" w:hAnsi="Times New Roman" w:eastAsia="仿宋_GB2312" w:cs="Times New Roman"/>
          <w:color w:val="auto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w w:val="100"/>
          <w:kern w:val="2"/>
          <w:sz w:val="32"/>
          <w:szCs w:val="32"/>
          <w:lang w:val="en-US" w:eastAsia="zh-CN" w:bidi="ar-SA"/>
        </w:rPr>
        <w:t xml:space="preserve">                        2022年1月18日</w:t>
      </w: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17" w:right="1417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E5339"/>
    <w:rsid w:val="0096076A"/>
    <w:rsid w:val="02241215"/>
    <w:rsid w:val="027C5214"/>
    <w:rsid w:val="03B37E76"/>
    <w:rsid w:val="046B59CB"/>
    <w:rsid w:val="047C599F"/>
    <w:rsid w:val="072276D0"/>
    <w:rsid w:val="074838AD"/>
    <w:rsid w:val="07F7533D"/>
    <w:rsid w:val="099F1469"/>
    <w:rsid w:val="0B6E0E68"/>
    <w:rsid w:val="0BF8779C"/>
    <w:rsid w:val="0C0F3CAE"/>
    <w:rsid w:val="0C707194"/>
    <w:rsid w:val="0D207646"/>
    <w:rsid w:val="0D9063AC"/>
    <w:rsid w:val="0E540297"/>
    <w:rsid w:val="0F5512C6"/>
    <w:rsid w:val="10D6759A"/>
    <w:rsid w:val="14875E17"/>
    <w:rsid w:val="14CB0FB9"/>
    <w:rsid w:val="15096969"/>
    <w:rsid w:val="19A96D61"/>
    <w:rsid w:val="1E3048AA"/>
    <w:rsid w:val="205C6E1B"/>
    <w:rsid w:val="210A7A37"/>
    <w:rsid w:val="21685FC4"/>
    <w:rsid w:val="295108F9"/>
    <w:rsid w:val="29C5522F"/>
    <w:rsid w:val="29C65F98"/>
    <w:rsid w:val="2B2D6B4A"/>
    <w:rsid w:val="2DB3760E"/>
    <w:rsid w:val="2DE36966"/>
    <w:rsid w:val="2ED5149C"/>
    <w:rsid w:val="2F6F3887"/>
    <w:rsid w:val="2FE204FD"/>
    <w:rsid w:val="304F751B"/>
    <w:rsid w:val="33181E76"/>
    <w:rsid w:val="33304224"/>
    <w:rsid w:val="33A87267"/>
    <w:rsid w:val="343F67FF"/>
    <w:rsid w:val="34E05800"/>
    <w:rsid w:val="35B9536A"/>
    <w:rsid w:val="36562B18"/>
    <w:rsid w:val="36B94B11"/>
    <w:rsid w:val="374A2925"/>
    <w:rsid w:val="386A72E1"/>
    <w:rsid w:val="39272B6C"/>
    <w:rsid w:val="3C5B2451"/>
    <w:rsid w:val="3E086F55"/>
    <w:rsid w:val="41A47831"/>
    <w:rsid w:val="41C31866"/>
    <w:rsid w:val="41D04B65"/>
    <w:rsid w:val="4292190E"/>
    <w:rsid w:val="42EF4FB3"/>
    <w:rsid w:val="43356D12"/>
    <w:rsid w:val="43BD2432"/>
    <w:rsid w:val="450E53C8"/>
    <w:rsid w:val="456E3523"/>
    <w:rsid w:val="46454EEA"/>
    <w:rsid w:val="467F21AA"/>
    <w:rsid w:val="49D338B6"/>
    <w:rsid w:val="4B166E55"/>
    <w:rsid w:val="4D4B54DB"/>
    <w:rsid w:val="4D8D6905"/>
    <w:rsid w:val="4E685FE7"/>
    <w:rsid w:val="4E870795"/>
    <w:rsid w:val="4FB947AA"/>
    <w:rsid w:val="51C24B3E"/>
    <w:rsid w:val="53320B51"/>
    <w:rsid w:val="540E2A9E"/>
    <w:rsid w:val="57664CA5"/>
    <w:rsid w:val="58045E10"/>
    <w:rsid w:val="58D92DC7"/>
    <w:rsid w:val="5A2450EA"/>
    <w:rsid w:val="5A651EE6"/>
    <w:rsid w:val="5BD37DAB"/>
    <w:rsid w:val="5DCC22A2"/>
    <w:rsid w:val="5DD87270"/>
    <w:rsid w:val="5E2D7187"/>
    <w:rsid w:val="624301D6"/>
    <w:rsid w:val="63506F50"/>
    <w:rsid w:val="638A5DD4"/>
    <w:rsid w:val="648038B0"/>
    <w:rsid w:val="64E72DD0"/>
    <w:rsid w:val="64EE433F"/>
    <w:rsid w:val="65237651"/>
    <w:rsid w:val="65482E60"/>
    <w:rsid w:val="673C5514"/>
    <w:rsid w:val="6BC52D32"/>
    <w:rsid w:val="6C7D68DC"/>
    <w:rsid w:val="6CF26215"/>
    <w:rsid w:val="6EA840E4"/>
    <w:rsid w:val="6F4638FD"/>
    <w:rsid w:val="6F736465"/>
    <w:rsid w:val="6FA56875"/>
    <w:rsid w:val="7003534A"/>
    <w:rsid w:val="703025E3"/>
    <w:rsid w:val="730924B4"/>
    <w:rsid w:val="735760D9"/>
    <w:rsid w:val="75B60E3F"/>
    <w:rsid w:val="767E5339"/>
    <w:rsid w:val="76CC293A"/>
    <w:rsid w:val="7A550ECC"/>
    <w:rsid w:val="7A580617"/>
    <w:rsid w:val="7B9E3C4B"/>
    <w:rsid w:val="7CD512CE"/>
    <w:rsid w:val="7DBF1ABF"/>
    <w:rsid w:val="7FE34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5"/>
    <w:qFormat/>
    <w:uiPriority w:val="0"/>
    <w:pPr>
      <w:ind w:firstLine="420" w:firstLineChars="200"/>
    </w:pPr>
  </w:style>
  <w:style w:type="paragraph" w:customStyle="1" w:styleId="3">
    <w:name w:val="BodyTextIndent"/>
    <w:basedOn w:val="1"/>
    <w:next w:val="4"/>
    <w:qFormat/>
    <w:uiPriority w:val="0"/>
    <w:pPr>
      <w:spacing w:after="120"/>
      <w:ind w:left="420" w:leftChars="200"/>
      <w:textAlignment w:val="baseline"/>
    </w:pPr>
    <w:rPr>
      <w:rFonts w:ascii="Calibri" w:hAnsi="Calibri"/>
    </w:rPr>
  </w:style>
  <w:style w:type="paragraph" w:customStyle="1" w:styleId="4">
    <w:name w:val="NormalIndent"/>
    <w:basedOn w:val="1"/>
    <w:qFormat/>
    <w:uiPriority w:val="0"/>
    <w:pPr>
      <w:ind w:firstLine="420" w:firstLineChars="200"/>
      <w:textAlignment w:val="baseline"/>
    </w:pPr>
    <w:rPr>
      <w:rFonts w:ascii="Calibri" w:hAnsi="Calibri" w:eastAsia="仿宋"/>
      <w:sz w:val="32"/>
    </w:rPr>
  </w:style>
  <w:style w:type="paragraph" w:customStyle="1" w:styleId="5">
    <w:name w:val="BodyText1I"/>
    <w:basedOn w:val="6"/>
    <w:qFormat/>
    <w:uiPriority w:val="0"/>
    <w:pPr>
      <w:ind w:firstLine="420" w:firstLineChars="100"/>
    </w:pPr>
  </w:style>
  <w:style w:type="paragraph" w:customStyle="1" w:styleId="6">
    <w:name w:val="BodyText"/>
    <w:basedOn w:val="1"/>
    <w:next w:val="1"/>
    <w:qFormat/>
    <w:uiPriority w:val="0"/>
    <w:pPr>
      <w:spacing w:after="120"/>
      <w:textAlignment w:val="baseline"/>
    </w:pPr>
  </w:style>
  <w:style w:type="paragraph" w:styleId="7">
    <w:name w:val="Body Text"/>
    <w:basedOn w:val="1"/>
    <w:next w:val="1"/>
    <w:qFormat/>
    <w:uiPriority w:val="0"/>
    <w:pPr>
      <w:spacing w:after="120"/>
    </w:pPr>
  </w:style>
  <w:style w:type="paragraph" w:styleId="8">
    <w:name w:val="Body Text Indent"/>
    <w:basedOn w:val="1"/>
    <w:next w:val="1"/>
    <w:qFormat/>
    <w:uiPriority w:val="0"/>
    <w:pPr>
      <w:spacing w:line="590" w:lineRule="atLeast"/>
      <w:ind w:left="945" w:hanging="945"/>
    </w:pPr>
    <w:rPr>
      <w:rFonts w:ascii="方正楷体_GBK" w:eastAsia="方正楷体_GBK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Title"/>
    <w:basedOn w:val="1"/>
    <w:next w:val="8"/>
    <w:qFormat/>
    <w:uiPriority w:val="0"/>
    <w:pPr>
      <w:spacing w:line="640" w:lineRule="atLeast"/>
      <w:ind w:firstLine="0" w:firstLineChars="0"/>
      <w:jc w:val="center"/>
    </w:pPr>
    <w:rPr>
      <w:rFonts w:ascii="Arial" w:hAnsi="Arial" w:eastAsia="方正小标宋_GBK" w:cs="Arial"/>
      <w:bCs/>
      <w:szCs w:val="32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正文缩进1"/>
    <w:qFormat/>
    <w:uiPriority w:val="0"/>
    <w:pPr>
      <w:widowControl w:val="0"/>
      <w:ind w:firstLine="200" w:firstLineChars="200"/>
      <w:jc w:val="both"/>
    </w:pPr>
    <w:rPr>
      <w:rFonts w:ascii="Calibri" w:hAnsi="Calibri" w:eastAsia="楷体_GB2312" w:cs="Times New Roman"/>
      <w:kern w:val="2"/>
      <w:sz w:val="32"/>
      <w:lang w:val="en-US" w:eastAsia="zh-CN"/>
    </w:rPr>
  </w:style>
  <w:style w:type="paragraph" w:customStyle="1" w:styleId="15">
    <w:name w:val="标题1"/>
    <w:basedOn w:val="10"/>
    <w:next w:val="1"/>
    <w:qFormat/>
    <w:uiPriority w:val="0"/>
    <w:rPr>
      <w:rFonts w:ascii="Times New Roman" w:hAnsi="Times New Roman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2022-01-12T08:20:00Z</dcterms:created>
  <dc:creator>Tameless,,</dc:creator>
  <cp:lastModifiedBy>Tameless,,</cp:lastModifiedBy>
  <cp:lastPrinted>2022-01-20T07:15:00Z</cp:lastPrinted>
  <dcterms:modified xsi:type="dcterms:W3CDTF">2022-01-24T09:07:39Z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5FDD4BDC1A1B47FBBB23FC989FB4807A</vt:lpwstr>
  </property>
</Properties>
</file>