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宿城区人民政府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2023年政府信息公开工作年度报告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中华人民共和国政府信息公开条例》（以下简称《条例》）以及国务院和省、市相关文件规定，现公布宿城区2023年政府信息公开年度报告。本年报所列数据的统计期限自2023年1月1日起至2023年12月31日止。本报告电子版可在宿迁市宿城区政府门户网站（http://www.sqsc.gov.cn/）政府信息公开年报专栏下载。如对年报有任何疑问，请与宿城区政府办公室联系（地址：宿迁市宿城区成子湖路6号，邮编：223800，电</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话：0527—82960096，电子邮箱：scqxxgk@163.com）。</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黑体" w:cs="Times New Roman"/>
          <w:b w:val="0"/>
          <w:bCs/>
          <w:i w:val="0"/>
          <w:caps w:val="0"/>
          <w:color w:val="000000"/>
          <w:spacing w:val="0"/>
          <w:sz w:val="32"/>
          <w:szCs w:val="32"/>
          <w:shd w:val="clear" w:color="auto" w:fill="FFFFFF"/>
        </w:rPr>
      </w:pPr>
      <w:r>
        <w:rPr>
          <w:rFonts w:hint="default" w:ascii="Times New Roman" w:hAnsi="Times New Roman" w:eastAsia="黑体" w:cs="Times New Roman"/>
          <w:b w:val="0"/>
          <w:bCs/>
          <w:i w:val="0"/>
          <w:caps w:val="0"/>
          <w:color w:val="000000"/>
          <w:spacing w:val="0"/>
          <w:sz w:val="32"/>
          <w:szCs w:val="32"/>
          <w:shd w:val="clear" w:color="auto" w:fill="FFFFFF"/>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宿城区坚持以习近平新时代中国特色社会主义思想为指导，严格执行《条例》内容，严格落实国务院和省政府、市政府对政府信息公开的各项工作要求，紧紧围绕区委、区政府中心工作，全过程推进政府信息公开，全力推动基层政务公</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开向农村社区延伸，探索基层政务公开与村务公开协同发展，积极助推为民政府、法治政府、数字政府建设。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kern w:val="2"/>
          <w:sz w:val="32"/>
          <w:szCs w:val="32"/>
          <w:lang w:val="en-US" w:eastAsia="zh-CN" w:bidi="ar-SA"/>
        </w:rPr>
        <w:t>一、紧扣中心工作，扩展主动公开范围。</w:t>
      </w:r>
      <w:r>
        <w:rPr>
          <w:rFonts w:hint="default" w:ascii="Times New Roman" w:hAnsi="Times New Roman" w:eastAsia="仿宋_GB2312" w:cs="Times New Roman"/>
          <w:sz w:val="32"/>
          <w:szCs w:val="32"/>
        </w:rPr>
        <w:t>坚持“以公开为常态、不公开为例外”原则，围绕全区中心工作和人民群众关注的热点问题，及时主动规范公开政府信息。2023年全区通过政府门户网站、政务新媒体、信用中国（江苏宿迁）、镇街及社区公示栏、电子屏等平台主动公开政府信息</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0000余条。</w:t>
      </w:r>
      <w:r>
        <w:rPr>
          <w:rFonts w:hint="default" w:ascii="Times New Roman" w:hAnsi="Times New Roman" w:eastAsia="仿宋_GB2312" w:cs="Times New Roman"/>
          <w:b/>
          <w:bCs/>
          <w:sz w:val="32"/>
          <w:szCs w:val="32"/>
        </w:rPr>
        <w:t>做好民生领域信息公开。</w:t>
      </w:r>
      <w:r>
        <w:rPr>
          <w:rFonts w:hint="default" w:ascii="Times New Roman" w:hAnsi="Times New Roman" w:eastAsia="仿宋_GB2312" w:cs="Times New Roman"/>
          <w:sz w:val="32"/>
          <w:szCs w:val="32"/>
        </w:rPr>
        <w:t>围绕</w:t>
      </w:r>
      <w:r>
        <w:rPr>
          <w:rFonts w:hint="default" w:ascii="Times New Roman" w:hAnsi="Times New Roman" w:eastAsia="仿宋_GB2312" w:cs="Times New Roman"/>
          <w:sz w:val="32"/>
          <w:szCs w:val="32"/>
          <w:lang w:val="en-US" w:eastAsia="zh-CN"/>
        </w:rPr>
        <w:t>稳岗</w:t>
      </w:r>
      <w:r>
        <w:rPr>
          <w:rFonts w:hint="default" w:ascii="Times New Roman" w:hAnsi="Times New Roman" w:eastAsia="仿宋_GB2312" w:cs="Times New Roman"/>
          <w:sz w:val="32"/>
          <w:szCs w:val="32"/>
        </w:rPr>
        <w:t>就业，加强政策宣讲和推送，及时公开各类就业支持政策，动态公开技能培训政策及经办流程。围绕教育领域，公开义务教育招生方案、招生范围、招生程序、报名条件、学校情况等信息。围绕养老服务及社会救助领域，重点公开</w:t>
      </w:r>
      <w:r>
        <w:rPr>
          <w:rFonts w:hint="default" w:ascii="Times New Roman" w:hAnsi="Times New Roman" w:eastAsia="仿宋_GB2312" w:cs="Times New Roman"/>
          <w:sz w:val="32"/>
          <w:szCs w:val="32"/>
          <w:lang w:val="en-US" w:eastAsia="zh-CN"/>
        </w:rPr>
        <w:t>上级</w:t>
      </w:r>
      <w:r>
        <w:rPr>
          <w:rFonts w:hint="default" w:ascii="Times New Roman" w:hAnsi="Times New Roman" w:eastAsia="仿宋_GB2312" w:cs="Times New Roman"/>
          <w:sz w:val="32"/>
          <w:szCs w:val="32"/>
        </w:rPr>
        <w:t>推进养老服务发展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社会救助</w:t>
      </w:r>
      <w:r>
        <w:rPr>
          <w:rFonts w:hint="default" w:ascii="Times New Roman" w:hAnsi="Times New Roman" w:eastAsia="仿宋_GB2312" w:cs="Times New Roman"/>
          <w:sz w:val="32"/>
          <w:szCs w:val="32"/>
        </w:rPr>
        <w:t>的政策文件以及老年人补贴、</w:t>
      </w:r>
      <w:r>
        <w:rPr>
          <w:rFonts w:hint="default" w:ascii="Times New Roman" w:hAnsi="Times New Roman" w:eastAsia="仿宋_GB2312" w:cs="Times New Roman"/>
          <w:sz w:val="32"/>
          <w:szCs w:val="32"/>
          <w:lang w:val="en-US" w:eastAsia="zh-CN"/>
        </w:rPr>
        <w:t>困境儿童补贴、特困供养人员补贴</w:t>
      </w:r>
      <w:r>
        <w:rPr>
          <w:rFonts w:hint="default" w:ascii="Times New Roman" w:hAnsi="Times New Roman" w:eastAsia="仿宋_GB2312" w:cs="Times New Roman"/>
          <w:sz w:val="32"/>
          <w:szCs w:val="32"/>
        </w:rPr>
        <w:t>等信息。</w:t>
      </w:r>
      <w:r>
        <w:rPr>
          <w:rFonts w:hint="default" w:ascii="Times New Roman" w:hAnsi="Times New Roman" w:eastAsia="仿宋_GB2312" w:cs="Times New Roman"/>
          <w:b/>
          <w:bCs/>
          <w:sz w:val="32"/>
          <w:szCs w:val="32"/>
        </w:rPr>
        <w:t>推动重大决策预公开。</w:t>
      </w:r>
      <w:r>
        <w:rPr>
          <w:rFonts w:hint="default" w:ascii="Times New Roman" w:hAnsi="Times New Roman" w:eastAsia="仿宋_GB2312" w:cs="Times New Roman"/>
          <w:sz w:val="32"/>
          <w:szCs w:val="32"/>
        </w:rPr>
        <w:t>围绕重大决策预公开，主动公开重大决策事项内容，涉及公共利益和公众权益的事项，政策征求意见稿全部配备政策解读，通过听证座谈、调查研究、网络征集等方式，广泛听取公众意见，及时公开意见收集采纳情况。</w:t>
      </w:r>
      <w:r>
        <w:rPr>
          <w:rFonts w:hint="default" w:ascii="Times New Roman" w:hAnsi="Times New Roman" w:eastAsia="仿宋_GB2312" w:cs="Times New Roman"/>
          <w:b/>
          <w:bCs/>
          <w:sz w:val="32"/>
          <w:szCs w:val="32"/>
        </w:rPr>
        <w:t>强化政策解读回应。</w:t>
      </w:r>
      <w:r>
        <w:rPr>
          <w:rFonts w:hint="default" w:ascii="Times New Roman" w:hAnsi="Times New Roman" w:eastAsia="仿宋_GB2312" w:cs="Times New Roman"/>
          <w:sz w:val="32"/>
          <w:szCs w:val="32"/>
        </w:rPr>
        <w:t>坚持“谁起草、谁解读”“谁解读、谁负责”的原则，起草政策文件时，同步编撰解读方案和解读材料，实现文件发布和解读材料同步起草、同步</w:t>
      </w:r>
      <w:r>
        <w:rPr>
          <w:rFonts w:hint="default" w:ascii="Times New Roman" w:hAnsi="Times New Roman" w:eastAsia="仿宋_GB2312" w:cs="Times New Roman"/>
          <w:color w:val="auto"/>
          <w:sz w:val="32"/>
          <w:szCs w:val="32"/>
        </w:rPr>
        <w:t>审批、同步发布“三同步”，丰富政策解读形式，重要政策文件实现“应解读尽解读”</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2023年，全区共发布政策解读信息</w:t>
      </w:r>
      <w:r>
        <w:rPr>
          <w:rFonts w:hint="default" w:ascii="Times New Roman" w:hAnsi="Times New Roman" w:eastAsia="仿宋_GB2312" w:cs="Times New Roman"/>
          <w:color w:val="auto"/>
          <w:sz w:val="32"/>
          <w:szCs w:val="32"/>
          <w:lang w:val="en-US" w:eastAsia="zh-CN"/>
        </w:rPr>
        <w:t>55</w:t>
      </w:r>
      <w:r>
        <w:rPr>
          <w:rFonts w:hint="default" w:ascii="Times New Roman" w:hAnsi="Times New Roman" w:eastAsia="仿宋_GB2312" w:cs="Times New Roman"/>
          <w:color w:val="auto"/>
          <w:sz w:val="32"/>
          <w:szCs w:val="32"/>
        </w:rPr>
        <w:t>条，</w:t>
      </w:r>
      <w:r>
        <w:rPr>
          <w:rFonts w:hint="default" w:ascii="Times New Roman" w:hAnsi="Times New Roman" w:eastAsia="仿宋_GB2312" w:cs="Times New Roman"/>
          <w:color w:val="auto"/>
          <w:sz w:val="32"/>
          <w:szCs w:val="32"/>
          <w:lang w:eastAsia="zh-CN"/>
        </w:rPr>
        <w:t>其中</w:t>
      </w:r>
      <w:r>
        <w:rPr>
          <w:rFonts w:hint="default" w:ascii="Times New Roman" w:hAnsi="Times New Roman" w:eastAsia="仿宋_GB2312" w:cs="Times New Roman"/>
          <w:color w:val="auto"/>
          <w:sz w:val="32"/>
          <w:szCs w:val="32"/>
          <w:lang w:val="en-US" w:eastAsia="zh-CN"/>
        </w:rPr>
        <w:t>视频解读3条，图文、图表式政策解读32条，</w:t>
      </w:r>
      <w:r>
        <w:rPr>
          <w:rFonts w:hint="default" w:ascii="Times New Roman" w:hAnsi="Times New Roman" w:eastAsia="仿宋_GB2312" w:cs="Times New Roman"/>
          <w:color w:val="auto"/>
          <w:sz w:val="32"/>
          <w:szCs w:val="32"/>
        </w:rPr>
        <w:t>召开新闻发布会</w:t>
      </w: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rPr>
      </w:pP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rPr>
        <w:t>聚焦法治</w:t>
      </w:r>
      <w:r>
        <w:rPr>
          <w:rFonts w:hint="default" w:ascii="Times New Roman" w:hAnsi="Times New Roman" w:eastAsia="楷体_GB2312" w:cs="Times New Roman"/>
          <w:sz w:val="32"/>
          <w:szCs w:val="32"/>
          <w:lang w:val="en-US" w:eastAsia="zh-CN"/>
        </w:rPr>
        <w:t>基准</w:t>
      </w:r>
      <w:r>
        <w:rPr>
          <w:rFonts w:hint="default" w:ascii="Times New Roman" w:hAnsi="Times New Roman" w:eastAsia="楷体_GB2312" w:cs="Times New Roman"/>
          <w:sz w:val="32"/>
          <w:szCs w:val="32"/>
        </w:rPr>
        <w:t>，提升依申请公开质效。</w:t>
      </w:r>
      <w:r>
        <w:rPr>
          <w:rFonts w:hint="default" w:ascii="Times New Roman" w:hAnsi="Times New Roman" w:eastAsia="仿宋_GB2312" w:cs="Times New Roman"/>
          <w:sz w:val="32"/>
          <w:szCs w:val="32"/>
        </w:rPr>
        <w:t>严格对照执行《条例》《宿迁市政府信息公开审查等制度配套图表及文书》等文件规定，秉持依法有据、严谨规范原则做好依申请公开办理，确保登记、审核、办理、答复、归档等全过程</w:t>
      </w:r>
      <w:r>
        <w:rPr>
          <w:rFonts w:hint="default" w:ascii="Times New Roman" w:hAnsi="Times New Roman" w:eastAsia="仿宋_GB2312" w:cs="Times New Roman"/>
          <w:sz w:val="32"/>
          <w:szCs w:val="32"/>
          <w:lang w:val="en-US" w:eastAsia="zh-CN"/>
        </w:rPr>
        <w:t>规范。</w:t>
      </w:r>
      <w:r>
        <w:rPr>
          <w:rFonts w:hint="default" w:ascii="Times New Roman" w:hAnsi="Times New Roman" w:eastAsia="仿宋_GB2312" w:cs="Times New Roman"/>
          <w:sz w:val="32"/>
          <w:szCs w:val="32"/>
        </w:rPr>
        <w:t>2023年全区共收到政府信息公开申请317，比去年增加84件，增加36.05%。上年度结转政府信息公开申请31件，2023年收到的317件政府信息公开申请中有14件结转下一年度继续办理。全年办结的334件政府信息公开申请中，属于“予以公开”70件，占比为20.96%；“部分公开”72件，占比为21.56%；“本机关不掌握相关信息”103件，占比为30.84%；“没有现成信息需要另行制作”19件，占比为5.69%；“其他处理”50件，占比为14.97%。“属于三类内部事务”信息1件，“属于四类过程性信息”2件，“属于行政查询事项”1件，“补正后申请内容仍不明确”1件，“信访举报投诉类申请”5件，“重复申请”5件，“申请人无正当理由逾期不补正、行政机关不再处理其政府信息公开申请”3件，“申请人逾期未按收费通知要求缴纳费用、行政机关不再处理其政府信息公开申请”2件。2023年申请公开的政府信息，主要集中在房屋征收、土地征收、农房改善等领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lang w:val="en-US" w:eastAsia="zh-CN"/>
        </w:rPr>
        <w:t>三</w:t>
      </w:r>
      <w:r>
        <w:rPr>
          <w:rFonts w:hint="default" w:ascii="Times New Roman" w:hAnsi="Times New Roman" w:eastAsia="楷体_GB2312" w:cs="Times New Roman"/>
          <w:sz w:val="32"/>
          <w:szCs w:val="32"/>
        </w:rPr>
        <w:t>、强化试点引领，助推政务公开</w:t>
      </w:r>
      <w:r>
        <w:rPr>
          <w:rFonts w:hint="default" w:ascii="Times New Roman" w:hAnsi="Times New Roman" w:eastAsia="楷体_GB2312" w:cs="Times New Roman"/>
          <w:sz w:val="32"/>
          <w:szCs w:val="32"/>
          <w:lang w:val="en-US" w:eastAsia="zh-CN"/>
        </w:rPr>
        <w:t>标准</w:t>
      </w:r>
      <w:r>
        <w:rPr>
          <w:rFonts w:hint="default" w:ascii="Times New Roman" w:hAnsi="Times New Roman" w:eastAsia="楷体_GB2312" w:cs="Times New Roman"/>
          <w:sz w:val="32"/>
          <w:szCs w:val="32"/>
        </w:rPr>
        <w:t>化</w:t>
      </w:r>
      <w:r>
        <w:rPr>
          <w:rFonts w:hint="default" w:ascii="Times New Roman" w:hAnsi="Times New Roman" w:eastAsia="楷体_GB2312" w:cs="Times New Roman"/>
          <w:sz w:val="32"/>
          <w:szCs w:val="32"/>
          <w:lang w:val="en-US" w:eastAsia="zh-CN"/>
        </w:rPr>
        <w:t>规范化</w:t>
      </w:r>
      <w:r>
        <w:rPr>
          <w:rFonts w:hint="default" w:ascii="Times New Roman" w:hAnsi="Times New Roman" w:eastAsia="仿宋_GB2312" w:cs="Times New Roman"/>
          <w:sz w:val="32"/>
          <w:szCs w:val="32"/>
        </w:rPr>
        <w:t>。积极推动基层政务公开向农村社区延伸，探索基层政务公开与村务公开协同发展，成为2023年全市政务公开领域唯一获批基层政务公开与村务公开协同发展市标准化试点项目。依托镇街政府档案室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蔡集镇、中扬镇、项里街道率先试点建设村（居）务信息公开集中查阅专区。根据村务公开的法律法规，对照基层政务公开标准目录和面向村居公开事项清单，形成事项完</w:t>
      </w:r>
      <w:r>
        <w:rPr>
          <w:rFonts w:hint="default" w:ascii="Times New Roman" w:hAnsi="Times New Roman" w:eastAsia="仿宋_GB2312" w:cs="Times New Roman"/>
          <w:sz w:val="32"/>
          <w:szCs w:val="32"/>
          <w:lang w:val="en-US" w:eastAsia="zh-CN"/>
        </w:rPr>
        <w:t>整</w:t>
      </w:r>
      <w:r>
        <w:rPr>
          <w:rFonts w:hint="default" w:ascii="Times New Roman" w:hAnsi="Times New Roman" w:eastAsia="仿宋_GB2312" w:cs="Times New Roman"/>
          <w:sz w:val="32"/>
          <w:szCs w:val="32"/>
        </w:rPr>
        <w:t>、要素齐全、依据充分、公开渠道、公开对象、公开时限明确的村务公开标准</w:t>
      </w:r>
      <w:r>
        <w:rPr>
          <w:rFonts w:hint="default" w:ascii="Times New Roman" w:hAnsi="Times New Roman" w:eastAsia="仿宋_GB2312" w:cs="Times New Roman"/>
          <w:sz w:val="32"/>
          <w:szCs w:val="32"/>
          <w:lang w:val="en-US" w:eastAsia="zh-CN"/>
        </w:rPr>
        <w:t>目录清单</w:t>
      </w:r>
      <w:r>
        <w:rPr>
          <w:rFonts w:hint="default" w:ascii="Times New Roman" w:hAnsi="Times New Roman" w:eastAsia="仿宋_GB2312" w:cs="Times New Roman"/>
          <w:sz w:val="32"/>
          <w:szCs w:val="32"/>
        </w:rPr>
        <w:t>。对标政府信息公开查阅点，设立统一标识、规范管理</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村务信息公开集中查阅点，建立村务信息归档、管理、查阅工作制度，收集归档行政村往年村务信息，建立村务信息档案，解决村务信息保管不善和村民查阅“门难进、脸难看”问题</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切实</w:t>
      </w:r>
      <w:r>
        <w:rPr>
          <w:rFonts w:hint="default" w:ascii="Times New Roman" w:hAnsi="Times New Roman" w:eastAsia="仿宋_GB2312" w:cs="Times New Roman"/>
          <w:sz w:val="32"/>
          <w:szCs w:val="32"/>
        </w:rPr>
        <w:t>提升基层政务公开质量和基层政府治理能力。</w:t>
      </w:r>
    </w:p>
    <w:p>
      <w:pPr>
        <w:pStyle w:val="8"/>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baseline"/>
        <w:rPr>
          <w:rFonts w:hint="default" w:ascii="Times New Roman" w:hAnsi="Times New Roman" w:cs="Times New Roman"/>
        </w:rPr>
      </w:pPr>
      <w:r>
        <w:rPr>
          <w:rFonts w:hint="default" w:ascii="Times New Roman" w:hAnsi="Times New Roman" w:eastAsia="楷体_GB2312" w:cs="Times New Roman"/>
          <w:kern w:val="2"/>
          <w:sz w:val="32"/>
          <w:szCs w:val="32"/>
          <w:lang w:val="en-US" w:eastAsia="zh-CN" w:bidi="ar-SA"/>
        </w:rPr>
        <w:t>四、推进平台建设，实现政务公开便民化智能化。</w:t>
      </w:r>
      <w:r>
        <w:rPr>
          <w:rFonts w:hint="default" w:ascii="Times New Roman" w:hAnsi="Times New Roman" w:eastAsia="仿宋_GB2312" w:cs="Times New Roman"/>
          <w:kern w:val="2"/>
          <w:sz w:val="32"/>
          <w:szCs w:val="32"/>
          <w:lang w:val="en-US" w:eastAsia="zh-CN" w:bidi="ar-SA"/>
        </w:rPr>
        <w:t>扎实推进基层政务公开平台规范化、标准化建设，完善区级政务公开专区建设，按照“分区合理、风格统一、便民实用”原则，设置互联网+政务公开专区、24小时自助服务区、自助申请区等，为群众提供政府信息查询、政府信息公开申请、办事咨询、政策解答等线上线下“一站式”服务。推动基层政务公开专区向镇街全覆盖，以区级政务公开专区为样板，按照统一标识、统一功能、统一设施、统一管理原则，15个镇街全部建设标准化、规范化的政务公开专区，部分镇街还创新性设立政务公开小广场、乡贤解读政策点等，综合运用网站、小广场、乡贤解读政策点、网格员入户走访等，向不同群众提供全方位、多角度、立体式信息获取渠道。高标准推动“一件事”改革，实现省定24类“一件事”系统应用全上线，全年办理各类“一件事”10万余件。区政府门户网站坚持以群众需求为出发点，打造线上智能问答服务，利用人工智能、大数据分析、机器学习等，实现政府网站与人工智能的有效融合，为用户提供7×24小时智能、即时、互动式的智能问答服务，充分满足群众实际需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val="en-US" w:eastAsia="zh-CN"/>
        </w:rPr>
        <w:t>五、</w:t>
      </w:r>
      <w:r>
        <w:rPr>
          <w:rFonts w:hint="default" w:ascii="Times New Roman" w:hAnsi="Times New Roman" w:eastAsia="楷体_GB2312" w:cs="Times New Roman"/>
          <w:sz w:val="32"/>
          <w:szCs w:val="32"/>
        </w:rPr>
        <w:t>突出考核培训，提升政务公开工作水平。</w:t>
      </w:r>
      <w:r>
        <w:rPr>
          <w:rFonts w:hint="default" w:ascii="Times New Roman" w:hAnsi="Times New Roman" w:eastAsia="仿宋_GB2312" w:cs="Times New Roman"/>
          <w:sz w:val="32"/>
          <w:szCs w:val="32"/>
        </w:rPr>
        <w:t>将政务公开工作纳入区委区政府目标考核，制定政务公开考核实施细则，抓好日常考核，确保全区政务公开工作效能稳步提升。每</w:t>
      </w:r>
      <w:r>
        <w:rPr>
          <w:rFonts w:hint="default" w:ascii="Times New Roman" w:hAnsi="Times New Roman" w:eastAsia="仿宋_GB2312" w:cs="Times New Roman"/>
          <w:sz w:val="32"/>
          <w:szCs w:val="32"/>
          <w:lang w:val="en-US" w:eastAsia="zh-CN"/>
        </w:rPr>
        <w:t>月</w:t>
      </w:r>
      <w:r>
        <w:rPr>
          <w:rFonts w:hint="default" w:ascii="Times New Roman" w:hAnsi="Times New Roman" w:eastAsia="仿宋_GB2312" w:cs="Times New Roman"/>
          <w:sz w:val="32"/>
          <w:szCs w:val="32"/>
        </w:rPr>
        <w:t>对各单位政府信息“五公开”</w:t>
      </w:r>
      <w:r>
        <w:rPr>
          <w:rFonts w:hint="default" w:ascii="Times New Roman" w:hAnsi="Times New Roman" w:eastAsia="仿宋_GB2312" w:cs="Times New Roman"/>
          <w:sz w:val="32"/>
          <w:szCs w:val="32"/>
          <w:lang w:val="en-US" w:eastAsia="zh-CN"/>
        </w:rPr>
        <w:t>情况</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政府信息公开</w:t>
      </w:r>
      <w:r>
        <w:rPr>
          <w:rFonts w:hint="default" w:ascii="Times New Roman" w:hAnsi="Times New Roman" w:eastAsia="仿宋_GB2312" w:cs="Times New Roman"/>
          <w:sz w:val="32"/>
          <w:szCs w:val="32"/>
        </w:rPr>
        <w:t>登记</w:t>
      </w:r>
      <w:r>
        <w:rPr>
          <w:rFonts w:hint="default" w:ascii="Times New Roman" w:hAnsi="Times New Roman" w:eastAsia="仿宋_GB2312" w:cs="Times New Roman"/>
          <w:sz w:val="32"/>
          <w:szCs w:val="32"/>
          <w:lang w:val="en-US" w:eastAsia="zh-CN"/>
        </w:rPr>
        <w:t>表</w:t>
      </w:r>
      <w:r>
        <w:rPr>
          <w:rFonts w:hint="default" w:ascii="Times New Roman" w:hAnsi="Times New Roman" w:eastAsia="仿宋_GB2312" w:cs="Times New Roman"/>
          <w:sz w:val="32"/>
          <w:szCs w:val="32"/>
        </w:rPr>
        <w:t>报送情况、政府信息移交档案馆政府信息查阅中心情况进行跟踪</w:t>
      </w:r>
      <w:r>
        <w:rPr>
          <w:rFonts w:hint="default" w:ascii="Times New Roman" w:hAnsi="Times New Roman" w:eastAsia="仿宋_GB2312" w:cs="Times New Roman"/>
          <w:sz w:val="32"/>
          <w:szCs w:val="32"/>
          <w:lang w:val="en-US" w:eastAsia="zh-CN"/>
        </w:rPr>
        <w:t>检查</w:t>
      </w:r>
      <w:r>
        <w:rPr>
          <w:rFonts w:hint="default" w:ascii="Times New Roman" w:hAnsi="Times New Roman" w:eastAsia="仿宋_GB2312" w:cs="Times New Roman"/>
          <w:sz w:val="32"/>
          <w:szCs w:val="32"/>
        </w:rPr>
        <w:t>，记录落实情况，作为年度考核依据。坚持线上督查和线下推进相结合，全年</w:t>
      </w:r>
      <w:r>
        <w:rPr>
          <w:rFonts w:hint="default" w:ascii="Times New Roman" w:hAnsi="Times New Roman" w:eastAsia="仿宋_GB2312" w:cs="Times New Roman"/>
          <w:kern w:val="2"/>
          <w:sz w:val="32"/>
          <w:szCs w:val="32"/>
          <w:lang w:val="en-US" w:eastAsia="zh-CN" w:bidi="ar-SA"/>
        </w:rPr>
        <w:t>共审核各单位报表600余份，</w:t>
      </w:r>
      <w:r>
        <w:rPr>
          <w:rFonts w:hint="default" w:ascii="Times New Roman" w:hAnsi="Times New Roman" w:eastAsia="仿宋_GB2312" w:cs="Times New Roman"/>
          <w:sz w:val="32"/>
          <w:szCs w:val="32"/>
        </w:rPr>
        <w:t>累计赴各单位、各镇街督查政府信息台账管理、政务公开</w:t>
      </w:r>
      <w:r>
        <w:rPr>
          <w:rFonts w:hint="default" w:ascii="Times New Roman" w:hAnsi="Times New Roman" w:eastAsia="仿宋_GB2312" w:cs="Times New Roman"/>
          <w:sz w:val="32"/>
          <w:szCs w:val="32"/>
          <w:lang w:val="en-US" w:eastAsia="zh-CN"/>
        </w:rPr>
        <w:t>专区</w:t>
      </w:r>
      <w:r>
        <w:rPr>
          <w:rFonts w:hint="default" w:ascii="Times New Roman" w:hAnsi="Times New Roman" w:eastAsia="仿宋_GB2312" w:cs="Times New Roman"/>
          <w:sz w:val="32"/>
          <w:szCs w:val="32"/>
        </w:rPr>
        <w:t>建设</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基层政务公开与村务公开协同</w:t>
      </w:r>
      <w:r>
        <w:rPr>
          <w:rFonts w:hint="eastAsia" w:ascii="Times New Roman" w:hAnsi="Times New Roman" w:eastAsia="仿宋_GB2312" w:cs="Times New Roman"/>
          <w:sz w:val="32"/>
          <w:szCs w:val="32"/>
          <w:lang w:val="en-US" w:eastAsia="zh-CN"/>
        </w:rPr>
        <w:t>发展试点推进</w:t>
      </w:r>
      <w:r>
        <w:rPr>
          <w:rFonts w:hint="default" w:ascii="Times New Roman" w:hAnsi="Times New Roman" w:eastAsia="仿宋_GB2312" w:cs="Times New Roman"/>
          <w:sz w:val="32"/>
          <w:szCs w:val="32"/>
          <w:lang w:val="en-US" w:eastAsia="zh-CN"/>
        </w:rPr>
        <w:t>50</w:t>
      </w:r>
      <w:r>
        <w:rPr>
          <w:rFonts w:hint="default" w:ascii="Times New Roman" w:hAnsi="Times New Roman" w:eastAsia="仿宋_GB2312" w:cs="Times New Roman"/>
          <w:sz w:val="32"/>
          <w:szCs w:val="32"/>
        </w:rPr>
        <w:t>余次。强化初任政务公开负责人培训制度，开展全区性政务公开业务专题培训，全面提升基层政务公开工作人员专业化水平</w:t>
      </w:r>
      <w:r>
        <w:rPr>
          <w:rFonts w:hint="default" w:ascii="Times New Roman" w:hAnsi="Times New Roman" w:eastAsia="仿宋_GB2312" w:cs="Times New Roman"/>
          <w:sz w:val="32"/>
          <w:szCs w:val="32"/>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黑体" w:cs="Times New Roman"/>
          <w:b w:val="0"/>
          <w:bCs/>
          <w:i w:val="0"/>
          <w:caps w:val="0"/>
          <w:color w:val="000000"/>
          <w:spacing w:val="0"/>
          <w:sz w:val="32"/>
          <w:szCs w:val="32"/>
        </w:rPr>
      </w:pPr>
      <w:r>
        <w:rPr>
          <w:rFonts w:hint="default" w:ascii="Times New Roman" w:hAnsi="Times New Roman" w:eastAsia="黑体" w:cs="Times New Roman"/>
          <w:b w:val="0"/>
          <w:bCs/>
          <w:i w:val="0"/>
          <w:caps w:val="0"/>
          <w:color w:val="000000"/>
          <w:spacing w:val="0"/>
          <w:sz w:val="32"/>
          <w:szCs w:val="32"/>
          <w:shd w:val="clear" w:color="auto" w:fill="FFFFFF"/>
        </w:rPr>
        <w:t>二、主动公开政府信息情况</w:t>
      </w:r>
    </w:p>
    <w:tbl>
      <w:tblPr>
        <w:tblStyle w:val="6"/>
        <w:tblW w:w="8760" w:type="dxa"/>
        <w:jc w:val="center"/>
        <w:tblLayout w:type="fixed"/>
        <w:tblCellMar>
          <w:top w:w="15" w:type="dxa"/>
          <w:left w:w="15" w:type="dxa"/>
          <w:bottom w:w="15" w:type="dxa"/>
          <w:right w:w="15" w:type="dxa"/>
        </w:tblCellMar>
      </w:tblPr>
      <w:tblGrid>
        <w:gridCol w:w="3416"/>
        <w:gridCol w:w="1872"/>
        <w:gridCol w:w="1584"/>
        <w:gridCol w:w="1888"/>
      </w:tblGrid>
      <w:tr>
        <w:tblPrEx>
          <w:tblCellMar>
            <w:top w:w="15" w:type="dxa"/>
            <w:left w:w="15" w:type="dxa"/>
            <w:bottom w:w="15" w:type="dxa"/>
            <w:right w:w="15" w:type="dxa"/>
          </w:tblCellMar>
        </w:tblPrEx>
        <w:trPr>
          <w:trHeight w:val="510" w:hRule="atLeast"/>
          <w:jc w:val="center"/>
        </w:trPr>
        <w:tc>
          <w:tcPr>
            <w:tcW w:w="8760" w:type="dxa"/>
            <w:gridSpan w:val="4"/>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第二十条第（一）项</w:t>
            </w:r>
          </w:p>
        </w:tc>
      </w:tr>
      <w:tr>
        <w:tblPrEx>
          <w:tblCellMar>
            <w:top w:w="15" w:type="dxa"/>
            <w:left w:w="15" w:type="dxa"/>
            <w:bottom w:w="15" w:type="dxa"/>
            <w:right w:w="15" w:type="dxa"/>
          </w:tblCellMar>
        </w:tblPrEx>
        <w:trPr>
          <w:trHeight w:val="576" w:hRule="atLeast"/>
          <w:jc w:val="center"/>
        </w:trPr>
        <w:tc>
          <w:tcPr>
            <w:tcW w:w="341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信息内容</w:t>
            </w:r>
          </w:p>
        </w:tc>
        <w:tc>
          <w:tcPr>
            <w:tcW w:w="187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rPr>
            </w:pPr>
            <w:r>
              <w:rPr>
                <w:rFonts w:hint="default" w:ascii="Times New Roman" w:hAnsi="Times New Roman" w:eastAsia="宋体" w:cs="Times New Roman"/>
                <w:color w:val="000000"/>
                <w:kern w:val="0"/>
                <w:sz w:val="22"/>
                <w:szCs w:val="22"/>
              </w:rPr>
              <w:t>本年制</w:t>
            </w:r>
            <w:r>
              <w:rPr>
                <w:rFonts w:hint="default" w:ascii="Times New Roman" w:hAnsi="Times New Roman" w:eastAsia="宋体" w:cs="Times New Roman"/>
                <w:color w:val="000000"/>
                <w:kern w:val="0"/>
                <w:sz w:val="22"/>
                <w:szCs w:val="22"/>
                <w:lang w:val="en-US" w:eastAsia="zh-CN"/>
              </w:rPr>
              <w:t>发件数</w:t>
            </w:r>
          </w:p>
        </w:tc>
        <w:tc>
          <w:tcPr>
            <w:tcW w:w="158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rPr>
            </w:pPr>
            <w:r>
              <w:rPr>
                <w:rFonts w:hint="default" w:ascii="Times New Roman" w:hAnsi="Times New Roman" w:eastAsia="宋体" w:cs="Times New Roman"/>
                <w:color w:val="000000"/>
                <w:kern w:val="0"/>
                <w:sz w:val="22"/>
                <w:szCs w:val="22"/>
              </w:rPr>
              <w:t>本年</w:t>
            </w:r>
            <w:r>
              <w:rPr>
                <w:rFonts w:hint="default" w:ascii="Times New Roman" w:hAnsi="Times New Roman" w:eastAsia="宋体" w:cs="Times New Roman"/>
                <w:color w:val="000000"/>
                <w:kern w:val="0"/>
                <w:sz w:val="22"/>
                <w:szCs w:val="22"/>
                <w:lang w:val="en-US" w:eastAsia="zh-CN"/>
              </w:rPr>
              <w:t>废止件数</w:t>
            </w:r>
          </w:p>
        </w:tc>
        <w:tc>
          <w:tcPr>
            <w:tcW w:w="188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kern w:val="0"/>
                <w:sz w:val="22"/>
                <w:szCs w:val="22"/>
                <w:lang w:val="en-US" w:eastAsia="zh-CN"/>
              </w:rPr>
              <w:t>现行有效件数</w:t>
            </w:r>
          </w:p>
        </w:tc>
      </w:tr>
      <w:tr>
        <w:tblPrEx>
          <w:tblCellMar>
            <w:top w:w="15" w:type="dxa"/>
            <w:left w:w="15" w:type="dxa"/>
            <w:bottom w:w="15" w:type="dxa"/>
            <w:right w:w="15" w:type="dxa"/>
          </w:tblCellMar>
        </w:tblPrEx>
        <w:trPr>
          <w:trHeight w:val="399" w:hRule="atLeast"/>
          <w:jc w:val="center"/>
        </w:trPr>
        <w:tc>
          <w:tcPr>
            <w:tcW w:w="341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规章</w:t>
            </w:r>
          </w:p>
        </w:tc>
        <w:tc>
          <w:tcPr>
            <w:tcW w:w="18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sz w:val="24"/>
                <w:szCs w:val="32"/>
                <w:lang w:val="en-US" w:eastAsia="zh-CN"/>
              </w:rPr>
              <w:t>0</w:t>
            </w:r>
          </w:p>
        </w:tc>
        <w:tc>
          <w:tcPr>
            <w:tcW w:w="158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sz w:val="24"/>
                <w:szCs w:val="32"/>
                <w:lang w:val="en-US" w:eastAsia="zh-CN"/>
              </w:rPr>
              <w:t>0</w:t>
            </w:r>
          </w:p>
        </w:tc>
        <w:tc>
          <w:tcPr>
            <w:tcW w:w="188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sz w:val="24"/>
                <w:szCs w:val="32"/>
                <w:lang w:val="en-US" w:eastAsia="zh-CN"/>
              </w:rPr>
              <w:t>0</w:t>
            </w:r>
          </w:p>
        </w:tc>
      </w:tr>
      <w:tr>
        <w:tblPrEx>
          <w:tblCellMar>
            <w:top w:w="15" w:type="dxa"/>
            <w:left w:w="15" w:type="dxa"/>
            <w:bottom w:w="15" w:type="dxa"/>
            <w:right w:w="15" w:type="dxa"/>
          </w:tblCellMar>
        </w:tblPrEx>
        <w:trPr>
          <w:trHeight w:val="395" w:hRule="atLeast"/>
          <w:jc w:val="center"/>
        </w:trPr>
        <w:tc>
          <w:tcPr>
            <w:tcW w:w="341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规范性文件</w:t>
            </w:r>
          </w:p>
        </w:tc>
        <w:tc>
          <w:tcPr>
            <w:tcW w:w="18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sz w:val="24"/>
                <w:szCs w:val="32"/>
                <w:lang w:val="en-US" w:eastAsia="zh-CN"/>
              </w:rPr>
              <w:t>1</w:t>
            </w:r>
          </w:p>
        </w:tc>
        <w:tc>
          <w:tcPr>
            <w:tcW w:w="158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sz w:val="24"/>
                <w:szCs w:val="32"/>
                <w:lang w:val="en-US" w:eastAsia="zh-CN"/>
              </w:rPr>
              <w:t>6</w:t>
            </w:r>
          </w:p>
        </w:tc>
        <w:tc>
          <w:tcPr>
            <w:tcW w:w="188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sz w:val="24"/>
                <w:szCs w:val="32"/>
                <w:lang w:val="en-US" w:eastAsia="zh-CN"/>
              </w:rPr>
              <w:t>5</w:t>
            </w:r>
          </w:p>
        </w:tc>
      </w:tr>
      <w:tr>
        <w:tblPrEx>
          <w:tblCellMar>
            <w:top w:w="15" w:type="dxa"/>
            <w:left w:w="15" w:type="dxa"/>
            <w:bottom w:w="15" w:type="dxa"/>
            <w:right w:w="15" w:type="dxa"/>
          </w:tblCellMar>
        </w:tblPrEx>
        <w:trPr>
          <w:trHeight w:val="548" w:hRule="atLeast"/>
          <w:jc w:val="center"/>
        </w:trPr>
        <w:tc>
          <w:tcPr>
            <w:tcW w:w="8760" w:type="dxa"/>
            <w:gridSpan w:val="4"/>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第二十条第（五）项</w:t>
            </w:r>
          </w:p>
        </w:tc>
      </w:tr>
      <w:tr>
        <w:tblPrEx>
          <w:tblCellMar>
            <w:top w:w="15" w:type="dxa"/>
            <w:left w:w="15" w:type="dxa"/>
            <w:bottom w:w="15" w:type="dxa"/>
            <w:right w:w="15" w:type="dxa"/>
          </w:tblCellMar>
        </w:tblPrEx>
        <w:trPr>
          <w:trHeight w:val="500" w:hRule="atLeast"/>
          <w:jc w:val="center"/>
        </w:trPr>
        <w:tc>
          <w:tcPr>
            <w:tcW w:w="341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信息内容</w:t>
            </w:r>
          </w:p>
        </w:tc>
        <w:tc>
          <w:tcPr>
            <w:tcW w:w="5344"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kern w:val="0"/>
                <w:sz w:val="22"/>
                <w:szCs w:val="22"/>
                <w:lang w:val="en-US" w:eastAsia="zh-CN"/>
              </w:rPr>
              <w:t>本年处理决定数量</w:t>
            </w:r>
          </w:p>
        </w:tc>
      </w:tr>
      <w:tr>
        <w:tblPrEx>
          <w:tblCellMar>
            <w:top w:w="15" w:type="dxa"/>
            <w:left w:w="15" w:type="dxa"/>
            <w:bottom w:w="15" w:type="dxa"/>
            <w:right w:w="15" w:type="dxa"/>
          </w:tblCellMar>
        </w:tblPrEx>
        <w:trPr>
          <w:trHeight w:val="350" w:hRule="atLeast"/>
          <w:jc w:val="center"/>
        </w:trPr>
        <w:tc>
          <w:tcPr>
            <w:tcW w:w="341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行政许可</w:t>
            </w:r>
          </w:p>
        </w:tc>
        <w:tc>
          <w:tcPr>
            <w:tcW w:w="5344"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sz w:val="24"/>
                <w:szCs w:val="32"/>
                <w:lang w:val="en-US" w:eastAsia="zh-CN"/>
              </w:rPr>
              <w:t>48023</w:t>
            </w:r>
          </w:p>
        </w:tc>
      </w:tr>
      <w:tr>
        <w:tblPrEx>
          <w:tblCellMar>
            <w:top w:w="15" w:type="dxa"/>
            <w:left w:w="15" w:type="dxa"/>
            <w:bottom w:w="15" w:type="dxa"/>
            <w:right w:w="15" w:type="dxa"/>
          </w:tblCellMar>
        </w:tblPrEx>
        <w:trPr>
          <w:trHeight w:val="470" w:hRule="atLeast"/>
          <w:jc w:val="center"/>
        </w:trPr>
        <w:tc>
          <w:tcPr>
            <w:tcW w:w="8760" w:type="dxa"/>
            <w:gridSpan w:val="4"/>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第二十条第（六）项</w:t>
            </w:r>
          </w:p>
        </w:tc>
      </w:tr>
      <w:tr>
        <w:tblPrEx>
          <w:tblCellMar>
            <w:top w:w="15" w:type="dxa"/>
            <w:left w:w="15" w:type="dxa"/>
            <w:bottom w:w="15" w:type="dxa"/>
            <w:right w:w="15" w:type="dxa"/>
          </w:tblCellMar>
        </w:tblPrEx>
        <w:trPr>
          <w:trHeight w:val="510" w:hRule="atLeast"/>
          <w:jc w:val="center"/>
        </w:trPr>
        <w:tc>
          <w:tcPr>
            <w:tcW w:w="341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信息内容</w:t>
            </w:r>
          </w:p>
        </w:tc>
        <w:tc>
          <w:tcPr>
            <w:tcW w:w="5344"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lang w:val="en-US" w:eastAsia="zh-CN"/>
              </w:rPr>
              <w:t>本年处理决定数量</w:t>
            </w:r>
          </w:p>
        </w:tc>
      </w:tr>
      <w:tr>
        <w:tblPrEx>
          <w:tblCellMar>
            <w:top w:w="15" w:type="dxa"/>
            <w:left w:w="15" w:type="dxa"/>
            <w:bottom w:w="15" w:type="dxa"/>
            <w:right w:w="15" w:type="dxa"/>
          </w:tblCellMar>
        </w:tblPrEx>
        <w:trPr>
          <w:trHeight w:val="470" w:hRule="atLeast"/>
          <w:jc w:val="center"/>
        </w:trPr>
        <w:tc>
          <w:tcPr>
            <w:tcW w:w="341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行政处罚</w:t>
            </w:r>
          </w:p>
        </w:tc>
        <w:tc>
          <w:tcPr>
            <w:tcW w:w="5344"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sz w:val="24"/>
                <w:szCs w:val="32"/>
                <w:lang w:val="en-US" w:eastAsia="zh-CN"/>
              </w:rPr>
              <w:t>1939</w:t>
            </w:r>
          </w:p>
        </w:tc>
      </w:tr>
      <w:tr>
        <w:tblPrEx>
          <w:tblCellMar>
            <w:top w:w="15" w:type="dxa"/>
            <w:left w:w="15" w:type="dxa"/>
            <w:bottom w:w="15" w:type="dxa"/>
            <w:right w:w="15" w:type="dxa"/>
          </w:tblCellMar>
        </w:tblPrEx>
        <w:trPr>
          <w:trHeight w:val="507" w:hRule="atLeast"/>
          <w:jc w:val="center"/>
        </w:trPr>
        <w:tc>
          <w:tcPr>
            <w:tcW w:w="341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行政强制</w:t>
            </w:r>
          </w:p>
        </w:tc>
        <w:tc>
          <w:tcPr>
            <w:tcW w:w="5344"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sz w:val="24"/>
                <w:szCs w:val="32"/>
                <w:lang w:val="en-US" w:eastAsia="zh-CN"/>
              </w:rPr>
              <w:t>3153</w:t>
            </w:r>
          </w:p>
        </w:tc>
      </w:tr>
      <w:tr>
        <w:tblPrEx>
          <w:tblCellMar>
            <w:top w:w="15" w:type="dxa"/>
            <w:left w:w="15" w:type="dxa"/>
            <w:bottom w:w="15" w:type="dxa"/>
            <w:right w:w="15" w:type="dxa"/>
          </w:tblCellMar>
        </w:tblPrEx>
        <w:trPr>
          <w:trHeight w:val="569" w:hRule="atLeast"/>
          <w:jc w:val="center"/>
        </w:trPr>
        <w:tc>
          <w:tcPr>
            <w:tcW w:w="8760" w:type="dxa"/>
            <w:gridSpan w:val="4"/>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kern w:val="0"/>
                <w:sz w:val="22"/>
                <w:szCs w:val="22"/>
              </w:rPr>
              <w:t>第二十条第（八）项</w:t>
            </w:r>
          </w:p>
        </w:tc>
      </w:tr>
      <w:tr>
        <w:tblPrEx>
          <w:tblCellMar>
            <w:top w:w="15" w:type="dxa"/>
            <w:left w:w="15" w:type="dxa"/>
            <w:bottom w:w="15" w:type="dxa"/>
            <w:right w:w="15" w:type="dxa"/>
          </w:tblCellMar>
        </w:tblPrEx>
        <w:trPr>
          <w:trHeight w:val="479" w:hRule="atLeast"/>
          <w:jc w:val="center"/>
        </w:trPr>
        <w:tc>
          <w:tcPr>
            <w:tcW w:w="341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信息内容</w:t>
            </w:r>
          </w:p>
        </w:tc>
        <w:tc>
          <w:tcPr>
            <w:tcW w:w="5344" w:type="dxa"/>
            <w:gridSpan w:val="3"/>
            <w:tcBorders>
              <w:top w:val="nil"/>
              <w:left w:val="nil"/>
              <w:bottom w:val="single" w:color="auto" w:sz="8" w:space="0"/>
              <w:right w:val="single" w:color="000000"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rPr>
            </w:pPr>
            <w:r>
              <w:rPr>
                <w:rFonts w:hint="default" w:ascii="Times New Roman" w:hAnsi="Times New Roman" w:eastAsia="宋体" w:cs="Times New Roman"/>
                <w:color w:val="000000"/>
                <w:kern w:val="0"/>
                <w:sz w:val="22"/>
                <w:szCs w:val="22"/>
                <w:lang w:val="en-US" w:eastAsia="zh-CN"/>
              </w:rPr>
              <w:t>本年收费金额（单位：万元）</w:t>
            </w:r>
          </w:p>
        </w:tc>
      </w:tr>
      <w:tr>
        <w:tblPrEx>
          <w:tblCellMar>
            <w:top w:w="15" w:type="dxa"/>
            <w:left w:w="15" w:type="dxa"/>
            <w:bottom w:w="15" w:type="dxa"/>
            <w:right w:w="15" w:type="dxa"/>
          </w:tblCellMar>
        </w:tblPrEx>
        <w:trPr>
          <w:trHeight w:val="758" w:hRule="atLeast"/>
          <w:jc w:val="center"/>
        </w:trPr>
        <w:tc>
          <w:tcPr>
            <w:tcW w:w="341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rPr>
            </w:pPr>
            <w:r>
              <w:rPr>
                <w:rFonts w:hint="default" w:ascii="Times New Roman" w:hAnsi="Times New Roman" w:eastAsia="宋体" w:cs="Times New Roman"/>
                <w:color w:val="000000"/>
                <w:kern w:val="0"/>
                <w:sz w:val="22"/>
                <w:szCs w:val="22"/>
              </w:rPr>
              <w:t>行政事业性收费</w:t>
            </w:r>
          </w:p>
        </w:tc>
        <w:tc>
          <w:tcPr>
            <w:tcW w:w="5344" w:type="dxa"/>
            <w:gridSpan w:val="3"/>
            <w:tcBorders>
              <w:top w:val="nil"/>
              <w:left w:val="nil"/>
              <w:bottom w:val="single" w:color="auto" w:sz="8" w:space="0"/>
              <w:right w:val="single" w:color="000000" w:sz="8" w:space="0"/>
            </w:tcBorders>
            <w:noWrap w:val="0"/>
            <w:tcMar>
              <w:top w:w="0" w:type="dxa"/>
              <w:left w:w="108" w:type="dxa"/>
              <w:bottom w:w="0" w:type="dxa"/>
              <w:right w:w="108" w:type="dxa"/>
            </w:tcMar>
            <w:vAlign w:val="center"/>
          </w:tcPr>
          <w:p>
            <w:pPr>
              <w:keepNext w:val="0"/>
              <w:keepLines w:val="0"/>
              <w:pageBreakBefore w:val="0"/>
              <w:widowControl/>
              <w:tabs>
                <w:tab w:val="left" w:pos="425"/>
              </w:tabs>
              <w:kinsoku/>
              <w:wordWrap/>
              <w:overflowPunct/>
              <w:topLinePunct w:val="0"/>
              <w:autoSpaceDN/>
              <w:bidi w:val="0"/>
              <w:spacing w:line="560" w:lineRule="exact"/>
              <w:jc w:val="center"/>
              <w:textAlignment w:val="auto"/>
              <w:rPr>
                <w:rFonts w:hint="default" w:ascii="Times New Roman" w:hAnsi="Times New Roman" w:eastAsia="宋体" w:cs="Times New Roman"/>
                <w:color w:val="000000"/>
                <w:sz w:val="24"/>
                <w:szCs w:val="32"/>
                <w:lang w:val="en-US" w:eastAsia="zh-CN"/>
              </w:rPr>
            </w:pPr>
            <w:r>
              <w:rPr>
                <w:rFonts w:hint="default" w:ascii="Times New Roman" w:hAnsi="Times New Roman" w:eastAsia="宋体" w:cs="Times New Roman"/>
                <w:color w:val="000000"/>
                <w:sz w:val="24"/>
                <w:szCs w:val="32"/>
                <w:lang w:val="en-US" w:eastAsia="zh-CN"/>
              </w:rPr>
              <w:t>7085.28</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黑体" w:cs="Times New Roman"/>
          <w:b w:val="0"/>
          <w:bCs/>
          <w:i w:val="0"/>
          <w:caps w:val="0"/>
          <w:color w:val="000000"/>
          <w:spacing w:val="0"/>
          <w:sz w:val="32"/>
          <w:szCs w:val="32"/>
          <w:shd w:val="clear" w:color="auto" w:fill="FFFFFF"/>
        </w:rPr>
      </w:pPr>
      <w:r>
        <w:rPr>
          <w:rFonts w:hint="default" w:ascii="Times New Roman" w:hAnsi="Times New Roman" w:eastAsia="黑体" w:cs="Times New Roman"/>
          <w:b w:val="0"/>
          <w:bCs/>
          <w:i w:val="0"/>
          <w:caps w:val="0"/>
          <w:color w:val="000000"/>
          <w:spacing w:val="0"/>
          <w:sz w:val="32"/>
          <w:szCs w:val="32"/>
          <w:shd w:val="clear" w:color="auto" w:fill="FFFFFF"/>
        </w:rPr>
        <w:t>三、收到和处理政府信息公开申请情况</w:t>
      </w:r>
    </w:p>
    <w:tbl>
      <w:tblPr>
        <w:tblStyle w:val="6"/>
        <w:tblW w:w="8754"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53"/>
        <w:gridCol w:w="680"/>
        <w:gridCol w:w="2325"/>
        <w:gridCol w:w="742"/>
        <w:gridCol w:w="742"/>
        <w:gridCol w:w="742"/>
        <w:gridCol w:w="742"/>
        <w:gridCol w:w="742"/>
        <w:gridCol w:w="743"/>
        <w:gridCol w:w="74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3558" w:type="dxa"/>
            <w:gridSpan w:val="3"/>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cs="Times New Roman"/>
                <w:color w:val="000000"/>
              </w:rPr>
            </w:pPr>
            <w:r>
              <w:rPr>
                <w:rFonts w:hint="default" w:ascii="Times New Roman" w:hAnsi="Times New Roman" w:eastAsia="楷体" w:cs="Times New Roman"/>
                <w:color w:val="auto"/>
                <w:kern w:val="0"/>
                <w:sz w:val="20"/>
                <w:szCs w:val="20"/>
                <w:lang w:val="en-US" w:eastAsia="zh-CN" w:bidi="ar"/>
              </w:rPr>
              <w:t>（本列数据的勾稽关系为：第一项加第二项之和，等于第三项加第四项之和）</w:t>
            </w:r>
          </w:p>
        </w:tc>
        <w:tc>
          <w:tcPr>
            <w:tcW w:w="5196"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3558" w:type="dxa"/>
            <w:gridSpan w:val="3"/>
            <w:vMerge w:val="continue"/>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cs="Times New Roman"/>
                <w:color w:val="000000"/>
                <w:sz w:val="24"/>
                <w:szCs w:val="24"/>
              </w:rPr>
            </w:pPr>
          </w:p>
        </w:tc>
        <w:tc>
          <w:tcPr>
            <w:tcW w:w="742"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自然人</w:t>
            </w:r>
          </w:p>
        </w:tc>
        <w:tc>
          <w:tcPr>
            <w:tcW w:w="3711"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法人或其他组织</w:t>
            </w:r>
          </w:p>
        </w:tc>
        <w:tc>
          <w:tcPr>
            <w:tcW w:w="743"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55" w:hRule="atLeast"/>
        </w:trPr>
        <w:tc>
          <w:tcPr>
            <w:tcW w:w="3558" w:type="dxa"/>
            <w:gridSpan w:val="3"/>
            <w:vMerge w:val="continue"/>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cs="Times New Roman"/>
                <w:color w:val="000000"/>
                <w:sz w:val="24"/>
                <w:szCs w:val="24"/>
              </w:rPr>
            </w:pPr>
          </w:p>
        </w:tc>
        <w:tc>
          <w:tcPr>
            <w:tcW w:w="742"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cs="Times New Roman"/>
                <w:color w:val="000000"/>
                <w:sz w:val="24"/>
                <w:szCs w:val="24"/>
              </w:rPr>
            </w:pP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eastAsia="宋体" w:cs="Times New Roman"/>
                <w:color w:val="auto"/>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企业</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eastAsia="宋体" w:cs="Times New Roman"/>
                <w:color w:val="auto"/>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机构</w:t>
            </w:r>
          </w:p>
        </w:tc>
        <w:tc>
          <w:tcPr>
            <w:tcW w:w="74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社会公益组织</w:t>
            </w:r>
          </w:p>
        </w:tc>
        <w:tc>
          <w:tcPr>
            <w:tcW w:w="74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法律服务机构</w:t>
            </w:r>
          </w:p>
        </w:tc>
        <w:tc>
          <w:tcPr>
            <w:tcW w:w="74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其他</w:t>
            </w:r>
          </w:p>
        </w:tc>
        <w:tc>
          <w:tcPr>
            <w:tcW w:w="743" w:type="dxa"/>
            <w:vMerge w:val="continue"/>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cs="Times New Roman"/>
                <w:color w:val="00000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3558"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一、本年新收政府信息公开申请数量</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308</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5</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4</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317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3558"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二、上年结转政府信息公开申请数量</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31</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31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三、本年度办理结果</w:t>
            </w:r>
          </w:p>
        </w:tc>
        <w:tc>
          <w:tcPr>
            <w:tcW w:w="3005"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（一）予以公开</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69</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1</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70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3005"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（二）部分公开</w:t>
            </w:r>
            <w:r>
              <w:rPr>
                <w:rFonts w:hint="default" w:ascii="Times New Roman" w:hAnsi="Times New Roman" w:eastAsia="楷体" w:cs="Times New Roman"/>
                <w:color w:val="auto"/>
                <w:kern w:val="0"/>
                <w:sz w:val="20"/>
                <w:szCs w:val="20"/>
                <w:lang w:val="en-US" w:eastAsia="zh-CN" w:bidi="ar"/>
              </w:rPr>
              <w:t>（区分处理的，只计这一情形，不计其他情形）</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70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2</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72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（三）不予公开</w:t>
            </w: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1.属于国家秘密</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2.其他法律行政法规禁止公开</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3.危及“三安全一稳定”</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4.保护第三方合法权益</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5.属于三类内部事务信息</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6.属于四类过程性信息</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2</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7.属于行政执法案卷</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8.属于行政查询事项</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（四）无法提供</w:t>
            </w: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1.本机关不掌握相关政府信息</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100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3</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103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2.没有现成信息需要另行制作</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18</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3.补正后申请内容仍不明确</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（五）不予处理</w:t>
            </w: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1.信访举报投诉类申请</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5</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2.重复申请</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5</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3.要求提供公开出版物</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4.无正当理由大量反复申请</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0"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top w:val="nil"/>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5.要求行政机关确认或重新出具已获取信息</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75"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restart"/>
            <w:tcBorders>
              <w:top w:val="nil"/>
              <w:left w:val="nil"/>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（六）其他处理</w:t>
            </w: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1.申请人无正当理由逾期不补正、行政机关不再处理其政府信息公开申请</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3</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75"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left w:val="nil"/>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2.申请人逾期未按收费通知要求缴纳费用、行政机关不再处理其政府信息公开申请</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方正仿宋_GBK" w:cs="Times New Roman"/>
                <w:snapToGrid w:val="0"/>
                <w:color w:val="000000"/>
                <w:sz w:val="32"/>
                <w:lang w:val="en-US" w:eastAsia="zh-CN" w:bidi="ar-SA"/>
              </w:rPr>
            </w:pPr>
            <w:r>
              <w:rPr>
                <w:rFonts w:hint="default" w:ascii="Times New Roman" w:hAnsi="Times New Roman" w:eastAsia="宋体" w:cs="Times New Roman"/>
                <w:color w:val="auto"/>
                <w:kern w:val="0"/>
                <w:sz w:val="20"/>
                <w:szCs w:val="20"/>
                <w:lang w:val="en-US" w:eastAsia="zh-CN" w:bidi="ar"/>
              </w:rPr>
              <w:t>2</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方正仿宋_GBK" w:cs="Times New Roman"/>
                <w:snapToGrid w:val="0"/>
                <w:color w:val="000000"/>
                <w:sz w:val="32"/>
                <w:lang w:val="en-US" w:eastAsia="zh-CN" w:bidi="ar-SA"/>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方正仿宋_GBK" w:cs="Times New Roman"/>
                <w:snapToGrid w:val="0"/>
                <w:color w:val="000000"/>
                <w:sz w:val="32"/>
                <w:lang w:val="en-US" w:eastAsia="zh-CN" w:bidi="ar-SA"/>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方正仿宋_GBK" w:cs="Times New Roman"/>
                <w:snapToGrid w:val="0"/>
                <w:color w:val="000000"/>
                <w:sz w:val="32"/>
                <w:lang w:val="en-US" w:eastAsia="zh-CN" w:bidi="ar-SA"/>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方正仿宋_GBK" w:cs="Times New Roman"/>
                <w:snapToGrid w:val="0"/>
                <w:color w:val="000000"/>
                <w:sz w:val="32"/>
                <w:lang w:val="en-US" w:eastAsia="zh-CN" w:bidi="ar-SA"/>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方正仿宋_GBK" w:cs="Times New Roman"/>
                <w:snapToGrid w:val="0"/>
                <w:color w:val="000000"/>
                <w:sz w:val="32"/>
                <w:lang w:val="en-US" w:eastAsia="zh-CN" w:bidi="ar-SA"/>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方正仿宋_GBK" w:cs="Times New Roman"/>
                <w:snapToGrid w:val="0"/>
                <w:color w:val="000000"/>
                <w:sz w:val="32"/>
                <w:lang w:val="en-US" w:eastAsia="zh-CN" w:bidi="ar-SA"/>
              </w:rPr>
            </w:pPr>
            <w:r>
              <w:rPr>
                <w:rFonts w:hint="default" w:ascii="Times New Roman" w:hAnsi="Times New Roman" w:eastAsia="宋体" w:cs="Times New Roman"/>
                <w:color w:val="auto"/>
                <w:kern w:val="0"/>
                <w:sz w:val="20"/>
                <w:szCs w:val="2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75"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680"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23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3.其他</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48</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1</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1</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75" w:hRule="atLeast"/>
        </w:trPr>
        <w:tc>
          <w:tcPr>
            <w:tcW w:w="553" w:type="dxa"/>
            <w:vMerge w:val="continue"/>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rPr>
                <w:rFonts w:hint="default" w:ascii="Times New Roman" w:hAnsi="Times New Roman" w:eastAsia="宋体" w:cs="Times New Roman"/>
                <w:color w:val="000000"/>
                <w:kern w:val="0"/>
                <w:sz w:val="20"/>
                <w:szCs w:val="20"/>
                <w:lang w:val="en-US" w:eastAsia="zh-CN" w:bidi="ar-SA"/>
              </w:rPr>
            </w:pPr>
          </w:p>
        </w:tc>
        <w:tc>
          <w:tcPr>
            <w:tcW w:w="3005"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（七）总计</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325</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5</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4</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lang w:val="en-US"/>
              </w:rPr>
            </w:pPr>
            <w:r>
              <w:rPr>
                <w:rFonts w:hint="default" w:ascii="Times New Roman" w:hAnsi="Times New Roman" w:eastAsia="宋体" w:cs="Times New Roman"/>
                <w:color w:val="auto"/>
                <w:kern w:val="0"/>
                <w:sz w:val="20"/>
                <w:szCs w:val="20"/>
                <w:lang w:val="en-US" w:eastAsia="zh-CN" w:bidi="ar"/>
              </w:rPr>
              <w:t>334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25" w:hRule="atLeast"/>
        </w:trPr>
        <w:tc>
          <w:tcPr>
            <w:tcW w:w="3558"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default" w:ascii="Times New Roman" w:hAnsi="Times New Roman" w:eastAsia="宋体"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四、结转下年度继续办理</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color w:val="000000"/>
              </w:rPr>
            </w:pPr>
            <w:r>
              <w:rPr>
                <w:rFonts w:hint="default" w:ascii="Times New Roman" w:hAnsi="Times New Roman" w:eastAsia="宋体" w:cs="Times New Roman"/>
                <w:color w:val="auto"/>
                <w:kern w:val="0"/>
                <w:sz w:val="20"/>
                <w:szCs w:val="20"/>
                <w:lang w:val="en-US" w:eastAsia="zh-CN" w:bidi="ar"/>
              </w:rPr>
              <w:t>14</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cs="Times New Roman"/>
                <w:color w:val="auto"/>
                <w:kern w:val="0"/>
                <w:sz w:val="20"/>
                <w:szCs w:val="20"/>
                <w:lang w:val="en-US" w:eastAsia="zh-CN" w:bidi="ar"/>
              </w:rPr>
              <w:t>0</w:t>
            </w:r>
          </w:p>
        </w:tc>
        <w:tc>
          <w:tcPr>
            <w:tcW w:w="74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cs="Times New Roman"/>
                <w:color w:val="auto"/>
                <w:kern w:val="0"/>
                <w:sz w:val="20"/>
                <w:szCs w:val="20"/>
                <w:lang w:val="en-US" w:eastAsia="zh-CN" w:bidi="ar"/>
              </w:rPr>
              <w:t>0</w:t>
            </w:r>
          </w:p>
        </w:tc>
        <w:tc>
          <w:tcPr>
            <w:tcW w:w="74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仿宋_GB2312" w:cs="Times New Roman"/>
                <w:color w:val="000000"/>
                <w:kern w:val="0"/>
                <w:sz w:val="20"/>
                <w:szCs w:val="20"/>
                <w:lang w:val="en-US" w:eastAsia="zh-CN" w:bidi="ar-SA"/>
              </w:rPr>
            </w:pPr>
            <w:r>
              <w:rPr>
                <w:rFonts w:hint="default" w:ascii="Times New Roman" w:hAnsi="Times New Roman" w:eastAsia="宋体" w:cs="Times New Roman"/>
                <w:color w:val="auto"/>
                <w:kern w:val="0"/>
                <w:sz w:val="20"/>
                <w:szCs w:val="20"/>
                <w:lang w:val="en-US" w:eastAsia="zh-CN" w:bidi="ar"/>
              </w:rPr>
              <w:t>14</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黑体" w:cs="Times New Roman"/>
          <w:b w:val="0"/>
          <w:bCs/>
          <w:i w:val="0"/>
          <w:caps w:val="0"/>
          <w:color w:val="000000"/>
          <w:spacing w:val="0"/>
          <w:sz w:val="32"/>
          <w:szCs w:val="32"/>
          <w:shd w:val="clear" w:color="auto" w:fill="FFFFFF"/>
        </w:rPr>
      </w:pPr>
      <w:r>
        <w:rPr>
          <w:rFonts w:hint="default" w:ascii="Times New Roman" w:hAnsi="Times New Roman" w:eastAsia="黑体" w:cs="Times New Roman"/>
          <w:b w:val="0"/>
          <w:bCs/>
          <w:i w:val="0"/>
          <w:caps w:val="0"/>
          <w:color w:val="000000"/>
          <w:spacing w:val="0"/>
          <w:sz w:val="32"/>
          <w:szCs w:val="32"/>
          <w:shd w:val="clear" w:color="auto" w:fill="FFFFFF"/>
        </w:rPr>
        <w:t>四、政府信息公开行政复议、行政诉讼情况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Times New Roman" w:hAnsi="Times New Roman" w:eastAsia="宋体" w:cs="Times New Roman"/>
          <w:i w:val="0"/>
          <w:caps w:val="0"/>
          <w:color w:val="333333"/>
          <w:spacing w:val="0"/>
          <w:sz w:val="24"/>
          <w:szCs w:val="24"/>
        </w:rPr>
      </w:pPr>
    </w:p>
    <w:tbl>
      <w:tblPr>
        <w:tblStyle w:val="6"/>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行政复议</w:t>
            </w:r>
          </w:p>
        </w:tc>
        <w:tc>
          <w:tcPr>
            <w:tcW w:w="5997"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结果维持</w:t>
            </w:r>
          </w:p>
        </w:tc>
        <w:tc>
          <w:tcPr>
            <w:tcW w:w="604"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结果纠正</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其他结果</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尚未审结</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总计</w:t>
            </w:r>
          </w:p>
        </w:tc>
        <w:tc>
          <w:tcPr>
            <w:tcW w:w="2970"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未经复议直接起诉</w:t>
            </w:r>
          </w:p>
        </w:tc>
        <w:tc>
          <w:tcPr>
            <w:tcW w:w="3027"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default" w:ascii="Times New Roman" w:hAnsi="Times New Roman" w:cs="Times New Roman"/>
                <w:sz w:val="24"/>
                <w:szCs w:val="24"/>
              </w:rPr>
            </w:pPr>
          </w:p>
        </w:tc>
        <w:tc>
          <w:tcPr>
            <w:tcW w:w="604"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default" w:ascii="Times New Roman" w:hAnsi="Times New Roman" w:cs="Times New Roman"/>
                <w:sz w:val="24"/>
                <w:szCs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hint="default" w:ascii="Times New Roman" w:hAnsi="Times New Roman" w:cs="Times New Roman"/>
                <w:sz w:val="24"/>
                <w:szCs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hint="default" w:ascii="Times New Roman" w:hAnsi="Times New Roman" w:cs="Times New Roman"/>
                <w:sz w:val="24"/>
                <w:szCs w:val="24"/>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hint="default" w:ascii="Times New Roman" w:hAnsi="Times New Roman" w:cs="Times New Roman"/>
                <w:sz w:val="24"/>
                <w:szCs w:val="24"/>
              </w:rPr>
            </w:pPr>
          </w:p>
        </w:tc>
        <w:tc>
          <w:tcPr>
            <w:tcW w:w="55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结果维持</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其他结果</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尚未审结</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总计</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结果维持</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其他结果</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尚未审结</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7" w:hRule="atLeast"/>
          <w:jc w:val="center"/>
        </w:trPr>
        <w:tc>
          <w:tcPr>
            <w:tcW w:w="604" w:type="dxa"/>
            <w:tcBorders>
              <w:top w:val="nil"/>
              <w:left w:val="single" w:color="auto" w:sz="8" w:space="0"/>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w:t>
            </w:r>
            <w:bookmarkStart w:id="0" w:name="_GoBack"/>
            <w:bookmarkEnd w:id="0"/>
          </w:p>
        </w:tc>
        <w:tc>
          <w:tcPr>
            <w:tcW w:w="550"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黑体" w:cs="Times New Roman"/>
          <w:b w:val="0"/>
          <w:bCs/>
          <w:i w:val="0"/>
          <w:caps w:val="0"/>
          <w:color w:val="000000"/>
          <w:spacing w:val="0"/>
          <w:sz w:val="32"/>
          <w:szCs w:val="32"/>
          <w:shd w:val="clear" w:color="auto" w:fill="FFFFFF"/>
        </w:rPr>
      </w:pPr>
      <w:r>
        <w:rPr>
          <w:rFonts w:hint="default" w:ascii="Times New Roman" w:hAnsi="Times New Roman" w:eastAsia="黑体" w:cs="Times New Roman"/>
          <w:b w:val="0"/>
          <w:bCs/>
          <w:i w:val="0"/>
          <w:caps w:val="0"/>
          <w:color w:val="000000"/>
          <w:spacing w:val="0"/>
          <w:sz w:val="32"/>
          <w:szCs w:val="32"/>
          <w:shd w:val="clear" w:color="auto" w:fill="FFFFFF"/>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sz w:val="32"/>
          <w:szCs w:val="32"/>
        </w:rPr>
        <w:t>2023年，我区政府信息公开工作</w:t>
      </w:r>
      <w:r>
        <w:rPr>
          <w:rFonts w:hint="default" w:ascii="Times New Roman" w:hAnsi="Times New Roman" w:eastAsia="仿宋_GB2312" w:cs="Times New Roman"/>
          <w:sz w:val="32"/>
          <w:szCs w:val="32"/>
          <w:lang w:val="en-US" w:eastAsia="zh-CN"/>
        </w:rPr>
        <w:t>虽</w:t>
      </w:r>
      <w:r>
        <w:rPr>
          <w:rFonts w:hint="default" w:ascii="Times New Roman" w:hAnsi="Times New Roman" w:eastAsia="仿宋_GB2312" w:cs="Times New Roman"/>
          <w:sz w:val="32"/>
          <w:szCs w:val="32"/>
        </w:rPr>
        <w:t>取得了一定成绩，但还存在一些差距和不足，主要是：</w:t>
      </w:r>
      <w:r>
        <w:rPr>
          <w:rFonts w:hint="default" w:ascii="Times New Roman" w:hAnsi="Times New Roman" w:eastAsia="仿宋_GB2312" w:cs="Times New Roman"/>
          <w:b/>
          <w:bCs/>
          <w:sz w:val="32"/>
          <w:szCs w:val="32"/>
        </w:rPr>
        <w:t>一是政务公开质量有待提升。</w:t>
      </w:r>
      <w:r>
        <w:rPr>
          <w:rFonts w:hint="default" w:ascii="Times New Roman" w:hAnsi="Times New Roman" w:eastAsia="仿宋_GB2312" w:cs="Times New Roman"/>
          <w:sz w:val="32"/>
          <w:szCs w:val="32"/>
        </w:rPr>
        <w:t>部分单位信息公开不够规范，重点领域政府信息公开还需提升。</w:t>
      </w:r>
      <w:r>
        <w:rPr>
          <w:rFonts w:hint="default" w:ascii="Times New Roman" w:hAnsi="Times New Roman" w:eastAsia="仿宋_GB2312" w:cs="Times New Roman"/>
          <w:b/>
          <w:bCs/>
          <w:sz w:val="32"/>
          <w:szCs w:val="32"/>
        </w:rPr>
        <w:t>二是基层政务公开基础薄弱。</w:t>
      </w:r>
      <w:r>
        <w:rPr>
          <w:rFonts w:hint="default" w:ascii="Times New Roman" w:hAnsi="Times New Roman" w:eastAsia="仿宋_GB2312" w:cs="Times New Roman"/>
          <w:sz w:val="32"/>
          <w:szCs w:val="32"/>
        </w:rPr>
        <w:t>部分镇街对</w:t>
      </w:r>
      <w:r>
        <w:rPr>
          <w:rFonts w:hint="default" w:ascii="Times New Roman" w:hAnsi="Times New Roman" w:eastAsia="仿宋_GB2312" w:cs="Times New Roman"/>
          <w:sz w:val="32"/>
          <w:szCs w:val="32"/>
          <w:lang w:val="en-US" w:eastAsia="zh-CN"/>
        </w:rPr>
        <w:t>政府</w:t>
      </w:r>
      <w:r>
        <w:rPr>
          <w:rFonts w:hint="default" w:ascii="Times New Roman" w:hAnsi="Times New Roman" w:eastAsia="仿宋_GB2312" w:cs="Times New Roman"/>
          <w:sz w:val="32"/>
          <w:szCs w:val="32"/>
        </w:rPr>
        <w:t>信息公开</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认识</w:t>
      </w:r>
      <w:r>
        <w:rPr>
          <w:rFonts w:hint="default" w:ascii="Times New Roman" w:hAnsi="Times New Roman" w:eastAsia="仿宋_GB2312" w:cs="Times New Roman"/>
          <w:sz w:val="32"/>
          <w:szCs w:val="32"/>
          <w:lang w:val="en-US" w:eastAsia="zh-CN"/>
        </w:rPr>
        <w:t>还</w:t>
      </w:r>
      <w:r>
        <w:rPr>
          <w:rFonts w:hint="default" w:ascii="Times New Roman" w:hAnsi="Times New Roman" w:eastAsia="仿宋_GB2312" w:cs="Times New Roman"/>
          <w:sz w:val="32"/>
          <w:szCs w:val="32"/>
        </w:rPr>
        <w:t>不足，主动公开</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意识还不高。</w:t>
      </w:r>
      <w:r>
        <w:rPr>
          <w:rFonts w:hint="default" w:ascii="Times New Roman" w:hAnsi="Times New Roman" w:eastAsia="仿宋_GB2312" w:cs="Times New Roman"/>
          <w:b/>
          <w:bCs/>
          <w:sz w:val="32"/>
          <w:szCs w:val="32"/>
        </w:rPr>
        <w:t>三是依申请公开工作还需加强。</w:t>
      </w:r>
      <w:r>
        <w:rPr>
          <w:rFonts w:hint="default" w:ascii="Times New Roman" w:hAnsi="Times New Roman" w:eastAsia="仿宋_GB2312" w:cs="Times New Roman"/>
          <w:sz w:val="32"/>
          <w:szCs w:val="32"/>
        </w:rPr>
        <w:t>部分单位处理依申请公开经验</w:t>
      </w:r>
      <w:r>
        <w:rPr>
          <w:rFonts w:hint="eastAsia" w:ascii="Times New Roman" w:hAnsi="Times New Roman" w:eastAsia="仿宋_GB2312" w:cs="Times New Roman"/>
          <w:sz w:val="32"/>
          <w:szCs w:val="32"/>
          <w:lang w:val="en-US" w:eastAsia="zh-CN"/>
        </w:rPr>
        <w:t>还</w:t>
      </w:r>
      <w:r>
        <w:rPr>
          <w:rFonts w:hint="default" w:ascii="Times New Roman" w:hAnsi="Times New Roman" w:eastAsia="仿宋_GB2312" w:cs="Times New Roman"/>
          <w:sz w:val="32"/>
          <w:szCs w:val="32"/>
          <w:lang w:val="en-US" w:eastAsia="zh-CN"/>
        </w:rPr>
        <w:t>欠缺</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存在</w:t>
      </w:r>
      <w:r>
        <w:rPr>
          <w:rFonts w:hint="default" w:ascii="Times New Roman" w:hAnsi="Times New Roman" w:eastAsia="仿宋_GB2312" w:cs="Times New Roman"/>
          <w:sz w:val="32"/>
          <w:szCs w:val="32"/>
        </w:rPr>
        <w:t>未严格</w:t>
      </w:r>
      <w:r>
        <w:rPr>
          <w:rFonts w:hint="default" w:ascii="Times New Roman" w:hAnsi="Times New Roman" w:eastAsia="仿宋_GB2312" w:cs="Times New Roman"/>
          <w:sz w:val="32"/>
          <w:szCs w:val="32"/>
          <w:lang w:val="en-US" w:eastAsia="zh-CN"/>
        </w:rPr>
        <w:t>按照要求答复情况</w:t>
      </w:r>
      <w:r>
        <w:rPr>
          <w:rFonts w:hint="default" w:ascii="Times New Roman" w:hAnsi="Times New Roman" w:eastAsia="仿宋_GB2312" w:cs="Times New Roman"/>
          <w:sz w:val="32"/>
          <w:szCs w:val="32"/>
        </w:rPr>
        <w:t>。</w:t>
      </w:r>
      <w:r>
        <w:rPr>
          <w:rFonts w:hint="default" w:ascii="Times New Roman" w:hAnsi="Times New Roman" w:eastAsia="仿宋_GB2312" w:cs="Times New Roman"/>
          <w:b w:val="0"/>
          <w:bCs w:val="0"/>
          <w:kern w:val="2"/>
          <w:sz w:val="32"/>
          <w:szCs w:val="32"/>
          <w:lang w:val="en-US" w:eastAsia="zh-CN" w:bidi="ar-SA"/>
        </w:rPr>
        <w:t>针对上述问题，我区紧紧围绕基层政务公开与村务公开协同发展试点成果应用，推进和深化政务公开工作，以扎实有力的举措不断提高全区政务公开工作质效。</w:t>
      </w:r>
      <w:r>
        <w:rPr>
          <w:rFonts w:hint="default" w:ascii="Times New Roman" w:hAnsi="Times New Roman" w:eastAsia="仿宋_GB2312" w:cs="Times New Roman"/>
          <w:b/>
          <w:bCs/>
          <w:kern w:val="2"/>
          <w:sz w:val="32"/>
          <w:szCs w:val="32"/>
          <w:lang w:val="en-US" w:eastAsia="zh-CN" w:bidi="ar-SA"/>
        </w:rPr>
        <w:t>一是全力提升主动公开工作。</w:t>
      </w:r>
      <w:r>
        <w:rPr>
          <w:rFonts w:hint="default" w:ascii="Times New Roman" w:hAnsi="Times New Roman" w:eastAsia="仿宋_GB2312" w:cs="Times New Roman"/>
          <w:b w:val="0"/>
          <w:bCs w:val="0"/>
          <w:kern w:val="2"/>
          <w:sz w:val="32"/>
          <w:szCs w:val="32"/>
          <w:lang w:val="en-US" w:eastAsia="zh-CN" w:bidi="ar-SA"/>
        </w:rPr>
        <w:t>强化政府门户网站“主阵地”作用，立足解决群众实际问题，聚焦群众关心的医疗教育、征地拆迁、乡村振兴、就业创业等热点领域，强化政府信息公开力度，丰富信息公开形式和渠道，有效回应社会关切，切实提高群众获得感和满意度。</w:t>
      </w:r>
      <w:r>
        <w:rPr>
          <w:rFonts w:hint="default" w:ascii="Times New Roman" w:hAnsi="Times New Roman" w:eastAsia="仿宋_GB2312" w:cs="Times New Roman"/>
          <w:b/>
          <w:bCs/>
          <w:kern w:val="2"/>
          <w:sz w:val="32"/>
          <w:szCs w:val="32"/>
          <w:lang w:val="en-US" w:eastAsia="zh-CN" w:bidi="ar-SA"/>
        </w:rPr>
        <w:t>二是扎实推进基层政务公开与村务公开协同发展。</w:t>
      </w:r>
      <w:r>
        <w:rPr>
          <w:rFonts w:hint="default" w:ascii="Times New Roman" w:hAnsi="Times New Roman" w:eastAsia="仿宋_GB2312" w:cs="Times New Roman"/>
          <w:b w:val="0"/>
          <w:bCs w:val="0"/>
          <w:kern w:val="2"/>
          <w:sz w:val="32"/>
          <w:szCs w:val="32"/>
          <w:lang w:val="en-US" w:eastAsia="zh-CN" w:bidi="ar-SA"/>
        </w:rPr>
        <w:t>结合村务信息公开标准目录，高标准建立村务信息公开集中查阅点，打造“标准+特色”的村务公开阵地。</w:t>
      </w:r>
      <w:r>
        <w:rPr>
          <w:rFonts w:hint="default" w:ascii="Times New Roman" w:hAnsi="Times New Roman" w:eastAsia="仿宋_GB2312" w:cs="Times New Roman"/>
          <w:b/>
          <w:bCs/>
          <w:kern w:val="2"/>
          <w:sz w:val="32"/>
          <w:szCs w:val="32"/>
          <w:lang w:val="en-US" w:eastAsia="zh-CN" w:bidi="ar-SA"/>
        </w:rPr>
        <w:t>三是依法依规做好依申请公开工作。</w:t>
      </w:r>
      <w:r>
        <w:rPr>
          <w:rFonts w:hint="default" w:ascii="Times New Roman" w:hAnsi="Times New Roman" w:eastAsia="仿宋_GB2312" w:cs="Times New Roman"/>
          <w:b w:val="0"/>
          <w:bCs w:val="0"/>
          <w:kern w:val="2"/>
          <w:sz w:val="32"/>
          <w:szCs w:val="32"/>
          <w:lang w:val="en-US" w:eastAsia="zh-CN" w:bidi="ar-SA"/>
        </w:rPr>
        <w:t>实行依申请公开“三审核”机制，依申请公开答复书须经区政府办政务公开科、法律顾问及单位主要领导审核通过后方可送达申请人，保障程序规范、内容合法。建立交流学习制度，常态化在工作交流群分享依申请公开办理的典型案例和注意事项，全面提升依申请公开办理人员的业务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黑体" w:cs="Times New Roman"/>
          <w:b w:val="0"/>
          <w:bCs/>
          <w:i w:val="0"/>
          <w:caps w:val="0"/>
          <w:color w:val="000000"/>
          <w:spacing w:val="0"/>
          <w:sz w:val="32"/>
          <w:szCs w:val="32"/>
          <w:shd w:val="clear" w:color="auto" w:fill="FFFFFF"/>
        </w:rPr>
      </w:pPr>
      <w:r>
        <w:rPr>
          <w:rFonts w:hint="default" w:ascii="Times New Roman" w:hAnsi="Times New Roman" w:eastAsia="黑体" w:cs="Times New Roman"/>
          <w:b w:val="0"/>
          <w:bCs/>
          <w:i w:val="0"/>
          <w:caps w:val="0"/>
          <w:color w:val="000000"/>
          <w:spacing w:val="0"/>
          <w:sz w:val="32"/>
          <w:szCs w:val="32"/>
          <w:shd w:val="clear" w:color="auto" w:fill="FFFFFF"/>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2023年，我区向公民、法人和其他组织提供政府信息收费</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笔，共</w:t>
      </w:r>
      <w:r>
        <w:rPr>
          <w:rFonts w:hint="default" w:ascii="Times New Roman" w:hAnsi="Times New Roman" w:eastAsia="仿宋_GB2312" w:cs="Times New Roman"/>
          <w:sz w:val="32"/>
          <w:szCs w:val="32"/>
          <w:lang w:val="en-US" w:eastAsia="zh-CN"/>
        </w:rPr>
        <w:t>140</w:t>
      </w:r>
      <w:r>
        <w:rPr>
          <w:rFonts w:hint="default" w:ascii="Times New Roman" w:hAnsi="Times New Roman" w:eastAsia="仿宋_GB2312" w:cs="Times New Roman"/>
          <w:sz w:val="32"/>
          <w:szCs w:val="32"/>
        </w:rPr>
        <w:t>元。</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rPr>
      </w:pPr>
    </w:p>
    <w:sectPr>
      <w:pgSz w:w="11906" w:h="16838"/>
      <w:pgMar w:top="1701"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MjZlMDU5ZWY4ZTQ0MDdlYzI0MTk2ZjExZDVlZDgifQ=="/>
  </w:docVars>
  <w:rsids>
    <w:rsidRoot w:val="767D3CB9"/>
    <w:rsid w:val="01395070"/>
    <w:rsid w:val="030F42DA"/>
    <w:rsid w:val="045C354F"/>
    <w:rsid w:val="04ED064B"/>
    <w:rsid w:val="04FF037E"/>
    <w:rsid w:val="068B011B"/>
    <w:rsid w:val="081B0A7F"/>
    <w:rsid w:val="087D7F38"/>
    <w:rsid w:val="08D51B22"/>
    <w:rsid w:val="09756E61"/>
    <w:rsid w:val="0B136931"/>
    <w:rsid w:val="0CB054F5"/>
    <w:rsid w:val="0D682F64"/>
    <w:rsid w:val="0E820056"/>
    <w:rsid w:val="14D269E0"/>
    <w:rsid w:val="18D05E62"/>
    <w:rsid w:val="193132B4"/>
    <w:rsid w:val="1BEA116E"/>
    <w:rsid w:val="1C166281"/>
    <w:rsid w:val="20E64474"/>
    <w:rsid w:val="236D2C2B"/>
    <w:rsid w:val="28341F69"/>
    <w:rsid w:val="29A34868"/>
    <w:rsid w:val="2A9A62D0"/>
    <w:rsid w:val="2AB37BC6"/>
    <w:rsid w:val="2B2B5FCB"/>
    <w:rsid w:val="2F542EF1"/>
    <w:rsid w:val="30D367F5"/>
    <w:rsid w:val="31D40319"/>
    <w:rsid w:val="323808A8"/>
    <w:rsid w:val="33F15215"/>
    <w:rsid w:val="37C130EE"/>
    <w:rsid w:val="3A3B744F"/>
    <w:rsid w:val="3C1934F8"/>
    <w:rsid w:val="3FAC4683"/>
    <w:rsid w:val="40211530"/>
    <w:rsid w:val="40FD2622"/>
    <w:rsid w:val="4269685C"/>
    <w:rsid w:val="45E36925"/>
    <w:rsid w:val="49CA4084"/>
    <w:rsid w:val="4C5D11DF"/>
    <w:rsid w:val="4CFA4C80"/>
    <w:rsid w:val="4E854A1D"/>
    <w:rsid w:val="4E981114"/>
    <w:rsid w:val="4FBA5282"/>
    <w:rsid w:val="50492275"/>
    <w:rsid w:val="50A43093"/>
    <w:rsid w:val="525F154A"/>
    <w:rsid w:val="54977258"/>
    <w:rsid w:val="55603AEE"/>
    <w:rsid w:val="56DE2111"/>
    <w:rsid w:val="57262085"/>
    <w:rsid w:val="57914433"/>
    <w:rsid w:val="58311772"/>
    <w:rsid w:val="58507E4A"/>
    <w:rsid w:val="58CF5213"/>
    <w:rsid w:val="592F3F03"/>
    <w:rsid w:val="5D3E2967"/>
    <w:rsid w:val="5FFB4B3F"/>
    <w:rsid w:val="626D784A"/>
    <w:rsid w:val="656B62C3"/>
    <w:rsid w:val="6C5606FB"/>
    <w:rsid w:val="6CC664D5"/>
    <w:rsid w:val="6DFA15E3"/>
    <w:rsid w:val="6FF9096F"/>
    <w:rsid w:val="71F50B81"/>
    <w:rsid w:val="75B16507"/>
    <w:rsid w:val="76256A17"/>
    <w:rsid w:val="767D3CB9"/>
    <w:rsid w:val="7BE95D3C"/>
    <w:rsid w:val="7CCA791B"/>
    <w:rsid w:val="7D851A94"/>
    <w:rsid w:val="7D925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0"/>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8">
    <w:name w:val="BodyText1I2"/>
    <w:basedOn w:val="9"/>
    <w:next w:val="11"/>
    <w:qFormat/>
    <w:uiPriority w:val="0"/>
    <w:pPr>
      <w:ind w:firstLine="420" w:firstLineChars="200"/>
    </w:pPr>
  </w:style>
  <w:style w:type="paragraph" w:customStyle="1" w:styleId="9">
    <w:name w:val="BodyTextIndent"/>
    <w:basedOn w:val="1"/>
    <w:next w:val="10"/>
    <w:qFormat/>
    <w:uiPriority w:val="0"/>
    <w:pPr>
      <w:spacing w:after="120"/>
      <w:ind w:left="420" w:leftChars="200"/>
      <w:textAlignment w:val="baseline"/>
    </w:pPr>
    <w:rPr>
      <w:rFonts w:ascii="Calibri" w:hAnsi="Calibri"/>
    </w:rPr>
  </w:style>
  <w:style w:type="paragraph" w:customStyle="1" w:styleId="10">
    <w:name w:val="NormalIndent"/>
    <w:basedOn w:val="1"/>
    <w:qFormat/>
    <w:uiPriority w:val="0"/>
    <w:pPr>
      <w:ind w:firstLine="420" w:firstLineChars="200"/>
      <w:textAlignment w:val="baseline"/>
    </w:pPr>
    <w:rPr>
      <w:rFonts w:ascii="Calibri" w:hAnsi="Calibri" w:eastAsia="仿宋"/>
      <w:sz w:val="32"/>
    </w:rPr>
  </w:style>
  <w:style w:type="paragraph" w:customStyle="1" w:styleId="11">
    <w:name w:val="BodyText1I"/>
    <w:basedOn w:val="12"/>
    <w:qFormat/>
    <w:uiPriority w:val="0"/>
    <w:pPr>
      <w:ind w:firstLine="420" w:firstLineChars="100"/>
    </w:pPr>
  </w:style>
  <w:style w:type="paragraph" w:customStyle="1" w:styleId="12">
    <w:name w:val="BodyText"/>
    <w:basedOn w:val="1"/>
    <w:next w:val="1"/>
    <w:qFormat/>
    <w:uiPriority w:val="0"/>
    <w:pPr>
      <w:spacing w:after="120"/>
      <w:textAlignment w:val="baseline"/>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3986</Words>
  <Characters>4215</Characters>
  <Lines>0</Lines>
  <Paragraphs>0</Paragraphs>
  <TotalTime>0</TotalTime>
  <ScaleCrop>false</ScaleCrop>
  <LinksUpToDate>false</LinksUpToDate>
  <CharactersWithSpaces>4215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2024-01-25T06:50:00Z</dcterms:created>
  <dc:creator>Administrator</dc:creator>
  <cp:lastModifiedBy>Administrator</cp:lastModifiedBy>
  <cp:lastPrinted>2024-02-06T01:35:00Z</cp:lastPrinted>
  <dcterms:modified xsi:type="dcterms:W3CDTF">2024-03-01T08:17:16Z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50C60E45B9D440C189A16EFF32826E0D_13</vt:lpwstr>
  </property>
</Properties>
</file>