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9BE0A">
      <w:pPr>
        <w:pStyle w:val="2"/>
        <w:jc w:val="left"/>
        <w:rPr>
          <w:rFonts w:hint="default" w:ascii="Times New Roman" w:hAnsi="Times New Roman" w:eastAsia="方正公文小标宋" w:cs="Times New Roman"/>
          <w:b w:val="0"/>
          <w:sz w:val="84"/>
          <w:szCs w:val="84"/>
          <w:lang w:eastAsia="zh-CN"/>
        </w:rPr>
      </w:pPr>
    </w:p>
    <w:p w14:paraId="27D8B5A2">
      <w:pPr>
        <w:pStyle w:val="2"/>
        <w:jc w:val="left"/>
        <w:rPr>
          <w:rFonts w:hint="default" w:ascii="Times New Roman" w:hAnsi="Times New Roman" w:eastAsia="方正公文小标宋" w:cs="Times New Roman"/>
          <w:b w:val="0"/>
          <w:sz w:val="84"/>
          <w:szCs w:val="84"/>
          <w:lang w:eastAsia="zh-CN"/>
        </w:rPr>
      </w:pPr>
    </w:p>
    <w:p w14:paraId="3D8D8A20">
      <w:pPr>
        <w:jc w:val="center"/>
        <w:rPr>
          <w:rFonts w:hint="default" w:ascii="Times New Roman" w:hAnsi="Times New Roman" w:eastAsia="方正公文小标宋" w:cs="Times New Roman"/>
          <w:sz w:val="84"/>
          <w:szCs w:val="84"/>
          <w:lang w:val="en-US" w:eastAsia="zh-CN"/>
        </w:rPr>
      </w:pPr>
      <w:r>
        <w:rPr>
          <w:rFonts w:hint="default" w:ascii="Times New Roman" w:hAnsi="Times New Roman" w:eastAsia="方正公文小标宋" w:cs="Times New Roman"/>
          <w:sz w:val="84"/>
          <w:szCs w:val="84"/>
          <w:lang w:val="en-US" w:eastAsia="zh-CN"/>
        </w:rPr>
        <w:t>江苏</w:t>
      </w:r>
      <w:r>
        <w:rPr>
          <w:rFonts w:hint="default" w:ascii="Times New Roman" w:hAnsi="Times New Roman" w:eastAsia="方正公文小标宋" w:cs="Times New Roman"/>
          <w:sz w:val="84"/>
          <w:szCs w:val="84"/>
          <w:lang w:eastAsia="zh-CN"/>
        </w:rPr>
        <w:t>省</w:t>
      </w:r>
      <w:r>
        <w:rPr>
          <w:rFonts w:hint="default" w:ascii="Times New Roman" w:hAnsi="Times New Roman" w:eastAsia="方正公文小标宋" w:cs="Times New Roman"/>
          <w:sz w:val="84"/>
          <w:szCs w:val="84"/>
          <w:lang w:val="en-US" w:eastAsia="zh-CN"/>
        </w:rPr>
        <w:t>宿迁</w:t>
      </w:r>
      <w:r>
        <w:rPr>
          <w:rFonts w:hint="default" w:ascii="Times New Roman" w:hAnsi="Times New Roman" w:eastAsia="方正公文小标宋" w:cs="Times New Roman"/>
          <w:sz w:val="84"/>
          <w:szCs w:val="84"/>
          <w:lang w:eastAsia="zh-CN"/>
        </w:rPr>
        <w:t>市</w:t>
      </w:r>
      <w:r>
        <w:rPr>
          <w:rFonts w:hint="default" w:ascii="Times New Roman" w:hAnsi="Times New Roman" w:eastAsia="方正公文小标宋" w:cs="Times New Roman"/>
          <w:sz w:val="84"/>
          <w:szCs w:val="84"/>
          <w:lang w:val="en-US" w:eastAsia="zh-CN"/>
        </w:rPr>
        <w:t>宿城区</w:t>
      </w:r>
    </w:p>
    <w:p w14:paraId="4D288FD2">
      <w:pPr>
        <w:jc w:val="center"/>
        <w:rPr>
          <w:rFonts w:hint="default" w:ascii="Times New Roman" w:hAnsi="Times New Roman" w:eastAsia="方正公文小标宋" w:cs="Times New Roman"/>
          <w:sz w:val="84"/>
          <w:szCs w:val="84"/>
          <w:lang w:eastAsia="zh-CN"/>
        </w:rPr>
      </w:pPr>
      <w:r>
        <w:rPr>
          <w:rFonts w:hint="default" w:ascii="Times New Roman" w:hAnsi="Times New Roman" w:eastAsia="方正公文小标宋" w:cs="Times New Roman"/>
          <w:sz w:val="84"/>
          <w:szCs w:val="84"/>
          <w:lang w:val="en-US" w:eastAsia="zh-CN"/>
        </w:rPr>
        <w:t>幸福街道</w:t>
      </w:r>
      <w:r>
        <w:rPr>
          <w:rFonts w:hint="default" w:ascii="Times New Roman" w:hAnsi="Times New Roman" w:eastAsia="方正公文小标宋" w:cs="Times New Roman"/>
          <w:sz w:val="84"/>
          <w:szCs w:val="84"/>
          <w:lang w:eastAsia="zh-CN"/>
        </w:rPr>
        <w:t>履行职责事项清单</w:t>
      </w:r>
    </w:p>
    <w:p w14:paraId="5FDD7A93">
      <w:pPr>
        <w:pStyle w:val="2"/>
        <w:jc w:val="left"/>
        <w:rPr>
          <w:rFonts w:hint="default" w:ascii="Times New Roman" w:hAnsi="Times New Roman" w:eastAsia="方正公文小标宋" w:cs="Times New Roman"/>
          <w:b w:val="0"/>
          <w:sz w:val="84"/>
          <w:szCs w:val="84"/>
          <w:lang w:eastAsia="zh-CN"/>
        </w:rPr>
      </w:pPr>
    </w:p>
    <w:p w14:paraId="6BFEC3B7">
      <w:pPr>
        <w:rPr>
          <w:rFonts w:hint="default" w:ascii="Times New Roman" w:hAnsi="Times New Roman" w:eastAsia="方正公文小标宋" w:cs="Times New Roman"/>
          <w:sz w:val="84"/>
          <w:szCs w:val="84"/>
          <w:lang w:eastAsia="zh-CN"/>
        </w:rPr>
      </w:pPr>
    </w:p>
    <w:p w14:paraId="114BC923">
      <w:pPr>
        <w:kinsoku/>
        <w:autoSpaceDE/>
        <w:autoSpaceDN/>
        <w:adjustRightInd/>
        <w:snapToGrid/>
        <w:textAlignment w:val="auto"/>
        <w:rPr>
          <w:rFonts w:hint="default" w:ascii="Times New Roman" w:hAnsi="Times New Roman" w:cs="Times New Roman" w:eastAsiaTheme="minorEastAsia"/>
          <w:b/>
          <w:sz w:val="32"/>
          <w:lang w:eastAsia="zh-CN"/>
        </w:rPr>
      </w:pPr>
    </w:p>
    <w:p w14:paraId="244E6726">
      <w:pPr>
        <w:pStyle w:val="2"/>
        <w:rPr>
          <w:rFonts w:hint="default" w:ascii="Times New Roman" w:hAnsi="Times New Roman" w:cs="Times New Roman"/>
          <w:lang w:eastAsia="zh-CN"/>
        </w:rPr>
      </w:pPr>
    </w:p>
    <w:sdt>
      <w:sdtPr>
        <w:rPr>
          <w:rFonts w:hint="default" w:ascii="Times New Roman" w:hAnsi="Times New Roman" w:eastAsia="Arial" w:cs="Times New Roman"/>
          <w:snapToGrid w:val="0"/>
          <w:color w:val="000000"/>
          <w:sz w:val="21"/>
          <w:szCs w:val="21"/>
          <w:lang w:val="zh-CN" w:eastAsia="en-US"/>
        </w:rPr>
        <w:id w:val="-434287504"/>
        <w:docPartObj>
          <w:docPartGallery w:val="Table of Contents"/>
          <w:docPartUnique/>
        </w:docPartObj>
      </w:sdtPr>
      <w:sdtEndPr>
        <w:rPr>
          <w:rFonts w:hint="default" w:ascii="Times New Roman" w:hAnsi="Times New Roman" w:eastAsia="Arial" w:cs="Times New Roman"/>
          <w:b/>
          <w:bCs/>
          <w:snapToGrid w:val="0"/>
          <w:color w:val="000000"/>
          <w:sz w:val="21"/>
          <w:szCs w:val="21"/>
          <w:lang w:val="zh-CN" w:eastAsia="en-US"/>
        </w:rPr>
      </w:sdtEndPr>
      <w:sdtContent>
        <w:p w14:paraId="53CD188E">
          <w:pPr>
            <w:pStyle w:val="24"/>
            <w:jc w:val="center"/>
            <w:rPr>
              <w:rFonts w:hint="default" w:ascii="Times New Roman" w:hAnsi="Times New Roman" w:eastAsia="方正公文小标宋" w:cs="Times New Roman"/>
              <w:color w:val="auto"/>
              <w:sz w:val="44"/>
              <w:szCs w:val="44"/>
              <w:lang w:val="zh-CN"/>
            </w:rPr>
          </w:pPr>
          <w:r>
            <w:rPr>
              <w:rFonts w:hint="default" w:ascii="Times New Roman" w:hAnsi="Times New Roman" w:eastAsia="方正公文小标宋" w:cs="Times New Roman"/>
              <w:color w:val="auto"/>
              <w:sz w:val="44"/>
              <w:szCs w:val="44"/>
              <w:lang w:val="zh-CN"/>
            </w:rPr>
            <w:t>目  录</w:t>
          </w:r>
        </w:p>
        <w:p w14:paraId="72C3167D">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eastAsia="zh-CN"/>
            </w:rPr>
          </w:pPr>
          <w:r>
            <w:rPr>
              <w:rFonts w:hint="default" w:ascii="Times New Roman" w:hAnsi="Times New Roman" w:cs="Times New Roman"/>
              <w:lang w:val="en-US" w:eastAsia="zh-CN"/>
            </w:rPr>
            <w:t>1.</w:t>
          </w:r>
          <w:r>
            <w:rPr>
              <w:rFonts w:hint="default" w:ascii="Times New Roman" w:hAnsi="Times New Roman" w:cs="Times New Roman"/>
            </w:rPr>
            <w:fldChar w:fldCharType="begin"/>
          </w:r>
          <w:r>
            <w:rPr>
              <w:rFonts w:hint="default" w:ascii="Times New Roman" w:hAnsi="Times New Roman" w:cs="Times New Roman"/>
            </w:rPr>
            <w:instrText xml:space="preserve"> TOC \o "1-3" \h \z \u </w:instrText>
          </w:r>
          <w:r>
            <w:rPr>
              <w:rFonts w:hint="default" w:ascii="Times New Roman" w:hAnsi="Times New Roman" w:cs="Times New Roman"/>
            </w:rPr>
            <w:fldChar w:fldCharType="separate"/>
          </w:r>
          <w:r>
            <w:rPr>
              <w:rStyle w:val="16"/>
              <w:rFonts w:hint="default" w:ascii="Times New Roman" w:hAnsi="Times New Roman" w:eastAsia="方正公文小标宋" w:cs="Times New Roman"/>
              <w:lang w:val="en-US" w:eastAsia="zh-CN"/>
            </w:rPr>
            <w:fldChar w:fldCharType="begin"/>
          </w:r>
          <w:r>
            <w:rPr>
              <w:rStyle w:val="16"/>
              <w:rFonts w:hint="default" w:ascii="Times New Roman" w:hAnsi="Times New Roman" w:eastAsia="方正公文小标宋" w:cs="Times New Roman"/>
              <w:lang w:val="en-US" w:eastAsia="zh-CN"/>
            </w:rPr>
            <w:instrText xml:space="preserve"> HYPERLINK \l "_Toc176767293" </w:instrText>
          </w:r>
          <w:r>
            <w:rPr>
              <w:rStyle w:val="16"/>
              <w:rFonts w:hint="default" w:ascii="Times New Roman" w:hAnsi="Times New Roman" w:eastAsia="方正公文小标宋" w:cs="Times New Roman"/>
              <w:lang w:val="en-US" w:eastAsia="zh-CN"/>
            </w:rPr>
            <w:fldChar w:fldCharType="separate"/>
          </w:r>
          <w:r>
            <w:rPr>
              <w:rStyle w:val="16"/>
              <w:rFonts w:hint="default" w:ascii="Times New Roman" w:hAnsi="Times New Roman" w:eastAsia="方正公文小标宋" w:cs="Times New Roman"/>
              <w:lang w:val="en-US" w:eastAsia="zh-CN"/>
            </w:rPr>
            <w:t>幸福街道基本履职事项清单</w:t>
          </w:r>
          <w:r>
            <w:rPr>
              <w:rStyle w:val="16"/>
              <w:rFonts w:hint="default" w:ascii="Times New Roman" w:hAnsi="Times New Roman" w:eastAsia="方正公文小标宋" w:cs="Times New Roman"/>
              <w:lang w:val="en-US" w:eastAsia="zh-CN"/>
            </w:rPr>
            <w:tab/>
          </w:r>
          <w:r>
            <w:rPr>
              <w:rStyle w:val="16"/>
              <w:rFonts w:hint="default" w:ascii="Times New Roman" w:hAnsi="Times New Roman" w:eastAsia="方正公文小标宋" w:cs="Times New Roman"/>
              <w:lang w:val="en-US" w:eastAsia="zh-CN"/>
            </w:rPr>
            <w:t>1</w:t>
          </w:r>
          <w:r>
            <w:rPr>
              <w:rStyle w:val="16"/>
              <w:rFonts w:hint="default" w:ascii="Times New Roman" w:hAnsi="Times New Roman" w:eastAsia="方正公文小标宋" w:cs="Times New Roman"/>
              <w:lang w:val="en-US" w:eastAsia="zh-CN"/>
            </w:rPr>
            <w:fldChar w:fldCharType="end"/>
          </w:r>
        </w:p>
        <w:p w14:paraId="01D73887">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eastAsia="zh-CN"/>
            </w:rPr>
          </w:pPr>
          <w:r>
            <w:rPr>
              <w:rFonts w:hint="default" w:ascii="Times New Roman" w:hAnsi="Times New Roman" w:cs="Times New Roman"/>
              <w:lang w:val="en-US" w:eastAsia="zh-CN"/>
            </w:rPr>
            <w:t>2.</w:t>
          </w:r>
          <w:r>
            <w:rPr>
              <w:rStyle w:val="16"/>
              <w:rFonts w:hint="default" w:ascii="Times New Roman" w:hAnsi="Times New Roman" w:eastAsia="方正公文小标宋" w:cs="Times New Roman"/>
              <w:lang w:val="en-US" w:eastAsia="zh-CN"/>
            </w:rPr>
            <w:t>幸福</w:t>
          </w:r>
          <w:r>
            <w:rPr>
              <w:rStyle w:val="16"/>
              <w:rFonts w:hint="default" w:ascii="Times New Roman" w:hAnsi="Times New Roman" w:eastAsia="方正公文小标宋" w:cs="Times New Roman"/>
              <w:lang w:val="en-US" w:eastAsia="zh-CN"/>
            </w:rPr>
            <w:t>街道</w:t>
          </w:r>
          <w:r>
            <w:rPr>
              <w:rFonts w:hint="default" w:ascii="Times New Roman" w:hAnsi="Times New Roman" w:cs="Times New Roman"/>
            </w:rPr>
            <w:fldChar w:fldCharType="begin"/>
          </w:r>
          <w:r>
            <w:rPr>
              <w:rFonts w:hint="default" w:ascii="Times New Roman" w:hAnsi="Times New Roman" w:cs="Times New Roman"/>
            </w:rPr>
            <w:instrText xml:space="preserve"> HYPERLINK \l "_Toc176767294" </w:instrText>
          </w:r>
          <w:r>
            <w:rPr>
              <w:rFonts w:hint="default" w:ascii="Times New Roman" w:hAnsi="Times New Roman" w:cs="Times New Roman"/>
            </w:rPr>
            <w:fldChar w:fldCharType="separate"/>
          </w:r>
          <w:r>
            <w:rPr>
              <w:rStyle w:val="16"/>
              <w:rFonts w:hint="default" w:ascii="Times New Roman" w:hAnsi="Times New Roman" w:eastAsia="方正公文小标宋" w:cs="Times New Roman"/>
              <w:lang w:eastAsia="zh-CN"/>
            </w:rPr>
            <w:t>配合履职事项清单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_Toc176767294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7F8D2313">
          <w:pPr>
            <w:pStyle w:val="11"/>
            <w:numPr>
              <w:ilvl w:val="0"/>
              <w:numId w:val="0"/>
            </w:numPr>
            <w:tabs>
              <w:tab w:val="right" w:leader="dot" w:pos="13991"/>
            </w:tabs>
            <w:ind w:leftChars="0"/>
            <w:rPr>
              <w:rFonts w:hint="default" w:ascii="Times New Roman" w:hAnsi="Times New Roman" w:eastAsia="方正公文仿宋" w:cs="Times New Roman"/>
              <w:snapToGrid/>
              <w:color w:val="auto"/>
              <w:kern w:val="2"/>
              <w:sz w:val="21"/>
              <w:szCs w:val="22"/>
              <w:lang w:val="en-US" w:eastAsia="zh-CN"/>
            </w:rPr>
          </w:pPr>
          <w:r>
            <w:rPr>
              <w:rFonts w:hint="default" w:ascii="Times New Roman" w:hAnsi="Times New Roman" w:cs="Times New Roman"/>
              <w:lang w:val="en-US" w:eastAsia="zh-CN"/>
            </w:rPr>
            <w:t>3.</w:t>
          </w:r>
          <w:r>
            <w:rPr>
              <w:rStyle w:val="16"/>
              <w:rFonts w:hint="default" w:ascii="Times New Roman" w:hAnsi="Times New Roman" w:eastAsia="方正公文小标宋" w:cs="Times New Roman"/>
              <w:lang w:val="en-US" w:eastAsia="zh-CN"/>
            </w:rPr>
            <w:t>幸福街</w:t>
          </w:r>
          <w:r>
            <w:rPr>
              <w:rStyle w:val="16"/>
              <w:rFonts w:hint="default" w:ascii="Times New Roman" w:hAnsi="Times New Roman" w:eastAsia="方正公文小标宋" w:cs="Times New Roman"/>
              <w:lang w:val="en-US" w:eastAsia="zh-CN"/>
            </w:rPr>
            <w:t>道</w:t>
          </w:r>
          <w:r>
            <w:rPr>
              <w:rFonts w:hint="default" w:ascii="Times New Roman" w:hAnsi="Times New Roman" w:cs="Times New Roman"/>
            </w:rPr>
            <w:fldChar w:fldCharType="begin"/>
          </w:r>
          <w:r>
            <w:rPr>
              <w:rFonts w:hint="default" w:ascii="Times New Roman" w:hAnsi="Times New Roman" w:cs="Times New Roman"/>
            </w:rPr>
            <w:instrText xml:space="preserve"> HYPERLINK \l "_Toc176767295" </w:instrText>
          </w:r>
          <w:r>
            <w:rPr>
              <w:rFonts w:hint="default" w:ascii="Times New Roman" w:hAnsi="Times New Roman" w:cs="Times New Roman"/>
            </w:rPr>
            <w:fldChar w:fldCharType="separate"/>
          </w:r>
          <w:r>
            <w:rPr>
              <w:rStyle w:val="16"/>
              <w:rFonts w:hint="default" w:ascii="Times New Roman" w:hAnsi="Times New Roman" w:eastAsia="方正公文小标宋" w:cs="Times New Roman"/>
              <w:lang w:eastAsia="zh-CN"/>
            </w:rPr>
            <w:t>上级部门收回事项清单</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cs="Times New Roman"/>
              <w:lang w:val="en-US" w:eastAsia="zh-CN"/>
            </w:rPr>
            <w:t>5</w:t>
          </w:r>
        </w:p>
        <w:p w14:paraId="7D214260">
          <w:pPr>
            <w:rPr>
              <w:rFonts w:hint="default" w:ascii="Times New Roman" w:hAnsi="Times New Roman" w:cs="Times New Roman"/>
            </w:rPr>
          </w:pPr>
          <w:r>
            <w:rPr>
              <w:rFonts w:hint="default" w:ascii="Times New Roman" w:hAnsi="Times New Roman" w:cs="Times New Roman"/>
              <w:b/>
              <w:bCs/>
              <w:lang w:val="zh-CN"/>
            </w:rPr>
            <w:fldChar w:fldCharType="end"/>
          </w:r>
        </w:p>
      </w:sdtContent>
    </w:sdt>
    <w:p w14:paraId="2F9E85BB">
      <w:pPr>
        <w:pStyle w:val="2"/>
        <w:jc w:val="both"/>
        <w:rPr>
          <w:rFonts w:hint="default" w:ascii="Times New Roman" w:hAnsi="Times New Roman" w:eastAsia="方正小标宋_GBK" w:cs="Times New Roman"/>
          <w:color w:val="auto"/>
          <w:spacing w:val="7"/>
          <w:sz w:val="44"/>
          <w:szCs w:val="44"/>
          <w:lang w:eastAsia="zh-CN"/>
        </w:rPr>
      </w:pPr>
    </w:p>
    <w:p w14:paraId="2D63AE6C">
      <w:pPr>
        <w:rPr>
          <w:rStyle w:val="16"/>
          <w:rFonts w:hint="default" w:ascii="Times New Roman" w:hAnsi="Times New Roman" w:eastAsia="方正公文小标宋" w:cs="Times New Roman"/>
          <w:color w:val="auto"/>
          <w:sz w:val="32"/>
          <w:u w:val="none"/>
          <w:lang w:eastAsia="zh-CN"/>
        </w:rPr>
      </w:pPr>
    </w:p>
    <w:p w14:paraId="23FF57E1">
      <w:pPr>
        <w:rPr>
          <w:rStyle w:val="16"/>
          <w:rFonts w:hint="default"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13DE0A44">
      <w:pPr>
        <w:pStyle w:val="3"/>
        <w:spacing w:before="0" w:after="0" w:line="240" w:lineRule="auto"/>
        <w:jc w:val="center"/>
        <w:rPr>
          <w:rFonts w:hint="default" w:ascii="Times New Roman" w:hAnsi="Times New Roman" w:eastAsia="方正公文小标宋" w:cs="Times New Roman"/>
          <w:b w:val="0"/>
          <w:color w:val="auto"/>
          <w:spacing w:val="7"/>
          <w:lang w:eastAsia="zh-CN"/>
        </w:rPr>
      </w:pPr>
      <w:r>
        <w:rPr>
          <w:rFonts w:hint="default" w:ascii="Times New Roman" w:hAnsi="Times New Roman" w:eastAsia="方正小标宋_GBK" w:cs="Times New Roman"/>
          <w:b w:val="0"/>
          <w:bCs w:val="0"/>
          <w:color w:val="auto"/>
          <w:lang w:val="en-US" w:eastAsia="zh-CN" w:bidi="ar"/>
        </w:rPr>
        <w:t>基本履职事项清单</w:t>
      </w:r>
    </w:p>
    <w:tbl>
      <w:tblPr>
        <w:tblStyle w:val="13"/>
        <w:tblW w:w="14045" w:type="dxa"/>
        <w:tblInd w:w="96" w:type="dxa"/>
        <w:tblLayout w:type="autofit"/>
        <w:tblCellMar>
          <w:top w:w="0" w:type="dxa"/>
          <w:left w:w="108" w:type="dxa"/>
          <w:bottom w:w="0" w:type="dxa"/>
          <w:right w:w="108" w:type="dxa"/>
        </w:tblCellMar>
      </w:tblPr>
      <w:tblGrid>
        <w:gridCol w:w="712"/>
        <w:gridCol w:w="13333"/>
      </w:tblGrid>
      <w:tr w14:paraId="73D5A329">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FB04">
            <w:pPr>
              <w:jc w:val="center"/>
              <w:textAlignment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DEE74">
            <w:pPr>
              <w:jc w:val="center"/>
              <w:textAlignment w:val="center"/>
              <w:rPr>
                <w:rFonts w:hint="default" w:ascii="Times New Roman" w:hAnsi="Times New Roman" w:eastAsia="方正黑体_GBK" w:cs="Times New Roman"/>
                <w:sz w:val="24"/>
                <w:szCs w:val="24"/>
                <w:lang w:eastAsia="zh-CN"/>
              </w:rPr>
            </w:pPr>
            <w:r>
              <w:rPr>
                <w:rFonts w:hint="default" w:ascii="Times New Roman" w:hAnsi="Times New Roman" w:eastAsia="方正黑体_GBK" w:cs="Times New Roman"/>
                <w:sz w:val="24"/>
                <w:szCs w:val="24"/>
                <w:lang w:eastAsia="zh-CN" w:bidi="ar"/>
              </w:rPr>
              <w:t>事项名称</w:t>
            </w:r>
          </w:p>
        </w:tc>
      </w:tr>
      <w:tr w14:paraId="40465DE3">
        <w:tblPrEx>
          <w:tblCellMar>
            <w:top w:w="0" w:type="dxa"/>
            <w:left w:w="108" w:type="dxa"/>
            <w:bottom w:w="0" w:type="dxa"/>
            <w:right w:w="108" w:type="dxa"/>
          </w:tblCellMar>
        </w:tblPrEx>
        <w:trPr>
          <w:cantSplit/>
          <w:trHeight w:val="482"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7BD68">
            <w:pPr>
              <w:textAlignment w:val="center"/>
              <w:rPr>
                <w:rFonts w:hint="default" w:ascii="Times New Roman" w:hAnsi="Times New Roman" w:eastAsia="方正黑体_GBK" w:cs="Times New Roman"/>
                <w:lang w:eastAsia="zh-CN" w:bidi="ar"/>
              </w:rPr>
            </w:pPr>
            <w:r>
              <w:rPr>
                <w:rStyle w:val="21"/>
                <w:rFonts w:hint="default" w:ascii="Times New Roman" w:hAnsi="Times New Roman" w:eastAsia="方正黑体_GBK" w:cs="Times New Roman"/>
                <w:color w:val="auto"/>
                <w:lang w:eastAsia="zh-CN" w:bidi="ar"/>
              </w:rPr>
              <w:t>一、党的建设（</w:t>
            </w:r>
            <w:r>
              <w:rPr>
                <w:rStyle w:val="21"/>
                <w:rFonts w:hint="default" w:ascii="Times New Roman" w:hAnsi="Times New Roman" w:eastAsia="方正黑体_GBK" w:cs="Times New Roman"/>
                <w:color w:val="auto"/>
                <w:lang w:val="en-US" w:eastAsia="zh-CN" w:bidi="ar"/>
              </w:rPr>
              <w:t>20</w:t>
            </w:r>
            <w:r>
              <w:rPr>
                <w:rStyle w:val="21"/>
                <w:rFonts w:hint="default" w:ascii="Times New Roman" w:hAnsi="Times New Roman" w:eastAsia="方正黑体_GBK" w:cs="Times New Roman"/>
                <w:color w:val="auto"/>
                <w:lang w:eastAsia="zh-CN" w:bidi="ar"/>
              </w:rPr>
              <w:t>项）</w:t>
            </w:r>
          </w:p>
        </w:tc>
      </w:tr>
      <w:tr w14:paraId="48FE4B7F">
        <w:tblPrEx>
          <w:tblCellMar>
            <w:top w:w="0" w:type="dxa"/>
            <w:left w:w="108" w:type="dxa"/>
            <w:bottom w:w="0" w:type="dxa"/>
            <w:right w:w="108" w:type="dxa"/>
          </w:tblCellMar>
        </w:tblPrEx>
        <w:trPr>
          <w:cantSplit/>
          <w:trHeight w:val="816"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6A24">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16F0">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snapToGrid w:val="0"/>
                <w:color w:val="000000"/>
                <w:kern w:val="0"/>
                <w:szCs w:val="21"/>
                <w:lang w:eastAsia="zh-CN" w:bidi="ar"/>
              </w:rPr>
              <w:t>学习贯彻落实习近平新时代中国特色社会主义思想和习近平总书记对江苏工作的重要讲话重要指示精神，宣传和执行党的路线方针政策，宣传和执行上级党组织及本级党组织的决议，按照党中央部署开展党内集中教育，加强政治建设，坚定拥护“两个确立”，坚决做到“两个维护”</w:t>
            </w:r>
          </w:p>
        </w:tc>
      </w:tr>
      <w:tr w14:paraId="13A25BFC">
        <w:tblPrEx>
          <w:tblCellMar>
            <w:top w:w="0" w:type="dxa"/>
            <w:left w:w="108" w:type="dxa"/>
            <w:bottom w:w="0" w:type="dxa"/>
            <w:right w:w="108" w:type="dxa"/>
          </w:tblCellMar>
        </w:tblPrEx>
        <w:trPr>
          <w:cantSplit/>
          <w:trHeight w:val="517"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F3D6">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1E34">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val="en-US" w:eastAsia="zh-CN" w:bidi="ar"/>
              </w:rPr>
              <w:t>推进社区、机关、“两企三新”等领域基层党组织规范化建设</w:t>
            </w:r>
          </w:p>
        </w:tc>
      </w:tr>
      <w:tr w14:paraId="05BDEC86">
        <w:tblPrEx>
          <w:tblCellMar>
            <w:top w:w="0" w:type="dxa"/>
            <w:left w:w="108" w:type="dxa"/>
            <w:bottom w:w="0" w:type="dxa"/>
            <w:right w:w="108" w:type="dxa"/>
          </w:tblCellMar>
        </w:tblPrEx>
        <w:trPr>
          <w:cantSplit/>
          <w:trHeight w:val="555"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E7EB">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0A56">
            <w:pPr>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eastAsia="zh-CN" w:bidi="ar"/>
              </w:rPr>
              <w:t>组织实施本级党组织及所属基层党组织换届工作</w:t>
            </w:r>
          </w:p>
        </w:tc>
      </w:tr>
      <w:tr w14:paraId="3241F501">
        <w:tblPrEx>
          <w:tblCellMar>
            <w:top w:w="0" w:type="dxa"/>
            <w:left w:w="108" w:type="dxa"/>
            <w:bottom w:w="0" w:type="dxa"/>
            <w:right w:w="108" w:type="dxa"/>
          </w:tblCellMar>
        </w:tblPrEx>
        <w:trPr>
          <w:cantSplit/>
          <w:trHeight w:val="573"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FE2C">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2BBA">
            <w:pPr>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负责党员培养、发展、教育、管理、监督和服务，塑造新时代党员忠诚、干净、担当的政治品格</w:t>
            </w:r>
          </w:p>
        </w:tc>
      </w:tr>
      <w:tr w14:paraId="1542095B">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501A">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90FB0">
            <w:pPr>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负责公务员、事业单位工作人员和社区“两委”干部（含临聘人员）培养使用、岗位任免和考核管理工作</w:t>
            </w:r>
          </w:p>
        </w:tc>
      </w:tr>
      <w:tr w14:paraId="60C8B28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88ACF">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6238">
            <w:pPr>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开展人才招引、政策宣传、人才培育、人才就业创业及保障工作</w:t>
            </w:r>
          </w:p>
        </w:tc>
      </w:tr>
      <w:tr w14:paraId="49387E8B">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F1BCF">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2F38">
            <w:pPr>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坚持全面从严治党，严格落实党风廉政建设“两个责任”，一体推进不敢腐、不能腐、不想腐</w:t>
            </w:r>
          </w:p>
        </w:tc>
      </w:tr>
      <w:tr w14:paraId="0F2DB7E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1814">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E09C7">
            <w:pPr>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开展监督执纪问责，依法查处党员干部、公职人员违纪违法案件</w:t>
            </w:r>
          </w:p>
        </w:tc>
      </w:tr>
      <w:tr w14:paraId="02F7167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0B07">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4CCC3">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推进城乡精神文明建设，开展核心价值观践行和现代文明素质培育提升行动</w:t>
            </w:r>
          </w:p>
        </w:tc>
      </w:tr>
      <w:tr w14:paraId="462C6D3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6C3EB">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74DD6">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落实统战工作责任制，推进党内外人士沟通联系</w:t>
            </w:r>
          </w:p>
        </w:tc>
      </w:tr>
      <w:tr w14:paraId="247B6998">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58B2">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F3D00">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开展党建引领基层治理，落实社区居民委员会规范化建设要求、健全基层群众自治制度</w:t>
            </w:r>
          </w:p>
        </w:tc>
      </w:tr>
      <w:tr w14:paraId="149DB1CF">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CB4F">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5FF5">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负责社会工作人才队伍建设，做好社会工作者职业资格考试组织动员、教育培训，推进岗位开发，深化“五社联动”，常态开展各类志愿服务活动</w:t>
            </w:r>
          </w:p>
        </w:tc>
      </w:tr>
      <w:tr w14:paraId="55F70F8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8B15">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2D62">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开展街道人大工委组织建设，召开议政代表会议，落实全过程人民民主各项工作</w:t>
            </w:r>
          </w:p>
        </w:tc>
      </w:tr>
      <w:tr w14:paraId="3A9EC7E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7B30B">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98E46">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联系辖区内的人大代表，组织开展视察调研、执法监督和提案办理等履职工作</w:t>
            </w:r>
          </w:p>
        </w:tc>
      </w:tr>
      <w:tr w14:paraId="3F012B7C">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46DE">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A9B51">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落实政治协商工作要求，推进基层协商民主建设、办理提案、委员推选及联络服务</w:t>
            </w:r>
          </w:p>
        </w:tc>
      </w:tr>
      <w:tr w14:paraId="64C0FC2A">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53966">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26226">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推进基层工会组织体系全覆盖建设，支持和保障辖区内企事业单位职工权益维护</w:t>
            </w:r>
          </w:p>
        </w:tc>
      </w:tr>
      <w:tr w14:paraId="4CD91E9A">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7B3A4">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1A978">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健全团委和社区、“两企三新”团支部建设，开展对团员的教育、培养、管理和服务</w:t>
            </w:r>
          </w:p>
        </w:tc>
      </w:tr>
      <w:tr w14:paraId="0C3019C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F0885">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76C5">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推进本级妇联组织体系和制度建设，开展妇女儿童权益保护和宣传动员工作</w:t>
            </w:r>
          </w:p>
        </w:tc>
      </w:tr>
      <w:tr w14:paraId="70E7D8C9">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E0799">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52853">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发挥老干部、老教师等“五老”优势，开展新时代关心下一代各项活动</w:t>
            </w:r>
          </w:p>
        </w:tc>
      </w:tr>
      <w:tr w14:paraId="15903A8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64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4E6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snapToGrid w:val="0"/>
                <w:color w:val="000000"/>
                <w:kern w:val="0"/>
                <w:szCs w:val="21"/>
                <w:lang w:val="en-US" w:eastAsia="zh-CN" w:bidi="ar"/>
              </w:rPr>
              <w:t>推进马陵公园、苏北大战纪念馆等红色文化载体品牌建设，开展爱国主义教育活动，发展红色文化旅游产业</w:t>
            </w:r>
          </w:p>
        </w:tc>
      </w:tr>
      <w:tr w14:paraId="26A9F409">
        <w:tblPrEx>
          <w:tblCellMar>
            <w:top w:w="0" w:type="dxa"/>
            <w:left w:w="108" w:type="dxa"/>
            <w:bottom w:w="0" w:type="dxa"/>
            <w:right w:w="108" w:type="dxa"/>
          </w:tblCellMar>
        </w:tblPrEx>
        <w:trPr>
          <w:cantSplit/>
          <w:trHeight w:val="658"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F2872">
            <w:pPr>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二</w:t>
            </w:r>
            <w:r>
              <w:rPr>
                <w:rStyle w:val="21"/>
                <w:rFonts w:hint="default" w:ascii="Times New Roman" w:hAnsi="Times New Roman" w:eastAsia="方正黑体_GBK" w:cs="Times New Roman"/>
                <w:color w:val="auto"/>
                <w:lang w:eastAsia="zh-CN" w:bidi="ar"/>
              </w:rPr>
              <w:t>、</w:t>
            </w:r>
            <w:r>
              <w:rPr>
                <w:rStyle w:val="21"/>
                <w:rFonts w:hint="default" w:ascii="Times New Roman" w:hAnsi="Times New Roman" w:eastAsia="方正黑体_GBK" w:cs="Times New Roman"/>
                <w:color w:val="auto"/>
                <w:lang w:val="en-US" w:eastAsia="zh-CN" w:bidi="ar"/>
              </w:rPr>
              <w:t>经济发展</w:t>
            </w:r>
            <w:r>
              <w:rPr>
                <w:rStyle w:val="21"/>
                <w:rFonts w:hint="default" w:ascii="Times New Roman" w:hAnsi="Times New Roman" w:eastAsia="方正黑体_GBK" w:cs="Times New Roman"/>
                <w:color w:val="auto"/>
                <w:lang w:eastAsia="zh-CN" w:bidi="ar"/>
              </w:rPr>
              <w:t>（</w:t>
            </w:r>
            <w:r>
              <w:rPr>
                <w:rStyle w:val="21"/>
                <w:rFonts w:hint="default" w:ascii="Times New Roman" w:hAnsi="Times New Roman" w:eastAsia="方正黑体_GBK" w:cs="Times New Roman"/>
                <w:color w:val="auto"/>
                <w:lang w:val="en-US" w:eastAsia="zh-CN" w:bidi="ar"/>
              </w:rPr>
              <w:t>14</w:t>
            </w:r>
            <w:r>
              <w:rPr>
                <w:rStyle w:val="21"/>
                <w:rFonts w:hint="default" w:ascii="Times New Roman" w:hAnsi="Times New Roman" w:eastAsia="方正黑体_GBK" w:cs="Times New Roman"/>
                <w:color w:val="auto"/>
                <w:lang w:eastAsia="zh-CN" w:bidi="ar"/>
              </w:rPr>
              <w:t>项）</w:t>
            </w:r>
          </w:p>
        </w:tc>
      </w:tr>
      <w:tr w14:paraId="19510FA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7F5B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63E2">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落实高质量发展产业政策和发展规划，推动固定资产投资建设</w:t>
            </w:r>
          </w:p>
        </w:tc>
      </w:tr>
      <w:tr w14:paraId="2F925BE1">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1FC6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F3A0">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开展服务业等领域招商引资，落实服务帮办、指导培育和政策扶持</w:t>
            </w:r>
          </w:p>
        </w:tc>
      </w:tr>
      <w:tr w14:paraId="4127A86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21E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9379">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推进社会信用体系建设，落实优化营商环境政策</w:t>
            </w:r>
          </w:p>
        </w:tc>
      </w:tr>
      <w:tr w14:paraId="6340F762">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F2C2">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89527">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负责推进黄河故道生态富民廊道高质量建设</w:t>
            </w:r>
          </w:p>
        </w:tc>
      </w:tr>
      <w:tr w14:paraId="0BD9F3DF">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D3E5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8E4E1">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负责辖区内外资、外贸以及电商企业的培育管理，做好货物和服务贸易帮办工作</w:t>
            </w:r>
          </w:p>
        </w:tc>
      </w:tr>
      <w:tr w14:paraId="6A169918">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A0FE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6BE1F">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监测重点经济指标，培育（新增）规上服务业、建筑业、限上贸易业等企业</w:t>
            </w:r>
          </w:p>
        </w:tc>
      </w:tr>
      <w:tr w14:paraId="29F7FDA2">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198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DB07">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引导商务系统内商会发挥经济服务、诉求反映、权益维护等职能</w:t>
            </w:r>
          </w:p>
        </w:tc>
      </w:tr>
      <w:tr w14:paraId="19D5ABB9">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58D8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D982">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开展科技政策宣传，推进运用技术的普及与推广</w:t>
            </w:r>
          </w:p>
        </w:tc>
      </w:tr>
      <w:tr w14:paraId="78F060D7">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9623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BDDB">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推进创业空间提质升级，在现代服务业领域形成产业链，引育数字经济企业</w:t>
            </w:r>
          </w:p>
        </w:tc>
      </w:tr>
      <w:tr w14:paraId="1FA05E29">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5C34E">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9CFBA">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推进服务业项目建设，承担对知识产权、现代服务业等涉企奖补资金初审、上报</w:t>
            </w:r>
          </w:p>
        </w:tc>
      </w:tr>
      <w:tr w14:paraId="264ED0AF">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3578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7BB7F">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开展人口、经济等领域的调查统计，落实抽样调查工作</w:t>
            </w:r>
          </w:p>
        </w:tc>
      </w:tr>
      <w:tr w14:paraId="7ABD1A26">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D0B7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EA3CD">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承担街道办事处政府性债务的风险监测和防范化解</w:t>
            </w:r>
          </w:p>
        </w:tc>
      </w:tr>
      <w:tr w14:paraId="10C639D9">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5F4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81233">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落实对国有资产的监督管理，严格执行内部审计制度</w:t>
            </w:r>
          </w:p>
        </w:tc>
      </w:tr>
      <w:tr w14:paraId="1FD0963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E1246">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0102E">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提振“幸福路商圈”消费活力，盘活“两街三区”商业资源，促进“文、商、旅”产业融合发展</w:t>
            </w:r>
          </w:p>
        </w:tc>
      </w:tr>
      <w:tr w14:paraId="0ED29595">
        <w:tblPrEx>
          <w:tblCellMar>
            <w:top w:w="0" w:type="dxa"/>
            <w:left w:w="108" w:type="dxa"/>
            <w:bottom w:w="0" w:type="dxa"/>
            <w:right w:w="108" w:type="dxa"/>
          </w:tblCellMar>
        </w:tblPrEx>
        <w:trPr>
          <w:cantSplit/>
          <w:trHeight w:val="658"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365C22">
            <w:pPr>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三、民生服务（20项）</w:t>
            </w:r>
          </w:p>
        </w:tc>
      </w:tr>
      <w:tr w14:paraId="6348CE83">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289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FA57">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落实生育登记服务制度，发放计划生育奖补资金</w:t>
            </w:r>
          </w:p>
        </w:tc>
      </w:tr>
      <w:tr w14:paraId="70D4CD9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098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32C7">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支持学前教育、幼儿园发展，保障学龄前儿童接受学前教育</w:t>
            </w:r>
          </w:p>
        </w:tc>
      </w:tr>
      <w:tr w14:paraId="767602E2">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810B">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09C96">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开展控辍保学工作，保障适龄儿童、少年接受义务教育</w:t>
            </w:r>
          </w:p>
        </w:tc>
      </w:tr>
      <w:tr w14:paraId="0DBFE03F">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879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A6B7">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推进未成年人保护站建设，开展困境儿童基本生活保障申请受理、审核、申报、救助工作</w:t>
            </w:r>
          </w:p>
        </w:tc>
      </w:tr>
      <w:tr w14:paraId="2AF3CE0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CA3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FD6D7">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开展对高校毕业生等青年群体的择业状况调查、组织就业见习</w:t>
            </w:r>
          </w:p>
        </w:tc>
      </w:tr>
      <w:tr w14:paraId="708E898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5AA6B">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F14C">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开展失业、就业人员的登记和管理，提供临时性公益性岗位、记账户入户等就业援助服务</w:t>
            </w:r>
          </w:p>
        </w:tc>
      </w:tr>
      <w:tr w14:paraId="0E07B9E3">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B432A">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A187">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承担对企业单位医疗保险开户登记、灵活就业人员与辖区居民参加医保登记管理工作</w:t>
            </w:r>
          </w:p>
        </w:tc>
      </w:tr>
      <w:tr w14:paraId="3403001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B5297">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7E04A">
            <w:pP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承担异地安置退休人员、长期异地居住人员、常驻异地工作人员的就医备案</w:t>
            </w:r>
          </w:p>
        </w:tc>
      </w:tr>
      <w:tr w14:paraId="0C3E62C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49F6">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3C63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开展对企业职工（含灵活就业人员）和辖区居民基本养老保险参保、缴费、年审和体检等工作</w:t>
            </w:r>
          </w:p>
        </w:tc>
      </w:tr>
      <w:tr w14:paraId="230A062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C5CC">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845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负责公共场所卫生管理，开展传染病预防监控和群防群治工作</w:t>
            </w:r>
          </w:p>
        </w:tc>
      </w:tr>
      <w:tr w14:paraId="2491ED2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684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AB5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推进爱国卫生运动，开展“除四害”、公共场所控烟以及健康教育促进工作</w:t>
            </w:r>
          </w:p>
        </w:tc>
      </w:tr>
      <w:tr w14:paraId="7BE3C02C">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BE0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D36C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推进“残疾人之家”建设，为残疾人群体（含精神残疾）提供优待帮扶和救助服务</w:t>
            </w:r>
          </w:p>
        </w:tc>
      </w:tr>
      <w:tr w14:paraId="5AADD426">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E4D19">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8B7B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承担对辖区内80岁以上老人尊老金的宣传、受理、审核、上报和年审工作</w:t>
            </w:r>
          </w:p>
        </w:tc>
      </w:tr>
      <w:tr w14:paraId="19B2340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09FC0">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4879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负责辖区内养老机构管理</w:t>
            </w:r>
          </w:p>
        </w:tc>
      </w:tr>
      <w:tr w14:paraId="495187BB">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BBAD3">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010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开展特殊困难老年人关心关爱工作，为辖区内高龄、经济困难家庭失能老年人提供居家养老服务</w:t>
            </w:r>
          </w:p>
        </w:tc>
      </w:tr>
      <w:tr w14:paraId="3AD10527">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8E129">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0170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开展辖区内特殊困难群体摸排、帮扶和救助，办理临时救助工作</w:t>
            </w:r>
          </w:p>
        </w:tc>
      </w:tr>
      <w:tr w14:paraId="1C54154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18BD7">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BF14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开展殡葬服务和公墓管理，推进移风易俗工作</w:t>
            </w:r>
          </w:p>
        </w:tc>
      </w:tr>
      <w:tr w14:paraId="1B8019F4">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0353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A9FB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负责对退役军人、伤残军人、义务兵、烈士等补助补贴资金的申请、初审和年审工作</w:t>
            </w:r>
          </w:p>
        </w:tc>
      </w:tr>
      <w:tr w14:paraId="77E4DEE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974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A3F4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承担对现役军人和退役军人的荣誉彰显和服务保障，开展走访慰问、就业创业支持、典型选树、军地共建等拥军优属工作</w:t>
            </w:r>
          </w:p>
        </w:tc>
      </w:tr>
      <w:tr w14:paraId="56A448A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9AD31">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879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Style w:val="21"/>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snapToGrid w:val="0"/>
                <w:color w:val="000000"/>
                <w:kern w:val="0"/>
                <w:szCs w:val="21"/>
                <w:lang w:val="en-US" w:eastAsia="zh-CN" w:bidi="ar"/>
              </w:rPr>
              <w:t>开展慈善公益宣传、慈善募捐等活动</w:t>
            </w:r>
          </w:p>
        </w:tc>
      </w:tr>
      <w:tr w14:paraId="6C9B29FD">
        <w:tblPrEx>
          <w:tblCellMar>
            <w:top w:w="0" w:type="dxa"/>
            <w:left w:w="108" w:type="dxa"/>
            <w:bottom w:w="0" w:type="dxa"/>
            <w:right w:w="108" w:type="dxa"/>
          </w:tblCellMar>
        </w:tblPrEx>
        <w:trPr>
          <w:cantSplit/>
          <w:trHeight w:val="658"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E41B6">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四、平安法治（13项）</w:t>
            </w:r>
          </w:p>
        </w:tc>
      </w:tr>
      <w:tr w14:paraId="170A1F8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B0FDB">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4B2F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推进法治政府建设，健全法律顾问制度</w:t>
            </w:r>
          </w:p>
        </w:tc>
      </w:tr>
      <w:tr w14:paraId="1480136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07209">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175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负责行政诉讼案件的应诉答辩和裁判履行，承担行政复议答复、复议决定履行工作</w:t>
            </w:r>
          </w:p>
        </w:tc>
      </w:tr>
      <w:tr w14:paraId="37E44F98">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372F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CC94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开展法治宣传教育，推进普法工作常态化</w:t>
            </w:r>
          </w:p>
        </w:tc>
      </w:tr>
      <w:tr w14:paraId="6D54FFC1">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829E">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9DA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健全公共法律服务体系，推进法律服务平台建设</w:t>
            </w:r>
          </w:p>
        </w:tc>
      </w:tr>
      <w:tr w14:paraId="7E4810C0">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D4A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C6A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推进人民调解组织建设，开展社会矛盾纠纷化解工作</w:t>
            </w:r>
          </w:p>
        </w:tc>
      </w:tr>
      <w:tr w14:paraId="57656FD1">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64BF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DFB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预防和化解劳动矛盾纠纷，开展劳资争议协商调解工作</w:t>
            </w:r>
          </w:p>
        </w:tc>
      </w:tr>
      <w:tr w14:paraId="34CA23CB">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9B228">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BA2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负责社区矫正对象的监督管理、教育帮扶工作，做好安置帮教工作</w:t>
            </w:r>
          </w:p>
        </w:tc>
      </w:tr>
      <w:tr w14:paraId="10C569E2">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F6E3E">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C7E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开展扫黑除恶、反邪教、反诈等宣传教育，摸排上报相关线索</w:t>
            </w:r>
          </w:p>
        </w:tc>
      </w:tr>
      <w:tr w14:paraId="72DE7AB4">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2CCC">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D469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加强禁毒宣传，落实社区戒毒、康复帮教等工作，开展非法种植毒品原植物巡查、制止和铲除</w:t>
            </w:r>
          </w:p>
        </w:tc>
      </w:tr>
      <w:tr w14:paraId="6BEBF77C">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853F7">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CA2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推进网格规范化建设，常态化开展网格管理服务工作</w:t>
            </w:r>
          </w:p>
        </w:tc>
      </w:tr>
      <w:tr w14:paraId="6478983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86E62">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3166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开展对市场流通中的农产品质量安全监管，承担安全事故的先期处置</w:t>
            </w:r>
          </w:p>
        </w:tc>
      </w:tr>
      <w:tr w14:paraId="2352DFEB">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E127">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6139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推进全民国防教育和国防动员工作，开展国防教育各项活动</w:t>
            </w:r>
          </w:p>
        </w:tc>
      </w:tr>
      <w:tr w14:paraId="08B3C3ED">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722A7">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A36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承担征兵宣传、登记、初审等工作，开展民兵组织与民兵阵地规范化建设</w:t>
            </w:r>
          </w:p>
        </w:tc>
      </w:tr>
      <w:tr w14:paraId="76114312">
        <w:tblPrEx>
          <w:tblCellMar>
            <w:top w:w="0" w:type="dxa"/>
            <w:left w:w="108" w:type="dxa"/>
            <w:bottom w:w="0" w:type="dxa"/>
            <w:right w:w="108" w:type="dxa"/>
          </w:tblCellMar>
        </w:tblPrEx>
        <w:trPr>
          <w:cantSplit/>
          <w:trHeight w:val="658"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F0863">
            <w:pPr>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五、社会管理（13项）</w:t>
            </w:r>
          </w:p>
        </w:tc>
      </w:tr>
      <w:tr w14:paraId="7F35BC95">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880E">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A71F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落实城市建设规划，优化空间布局形态</w:t>
            </w:r>
          </w:p>
        </w:tc>
      </w:tr>
      <w:tr w14:paraId="03FAF459">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40B63">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B75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承担中心城市棚户区改造工作</w:t>
            </w:r>
          </w:p>
        </w:tc>
      </w:tr>
      <w:tr w14:paraId="52B0F05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B5794">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D8D4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负责对违反城市道路和桥梁管理行为开展巡查处置</w:t>
            </w:r>
          </w:p>
        </w:tc>
      </w:tr>
      <w:tr w14:paraId="2C2C01EC">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750C0">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0707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开展背街小巷道路、小区内部道路的管理养护，承担对市政道路的日常巡查</w:t>
            </w:r>
          </w:p>
        </w:tc>
      </w:tr>
      <w:tr w14:paraId="7C1ADA2F">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AA395">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15FE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承担对辖区内绿化设施的日常管理维护，依法制止破坏绿化行为</w:t>
            </w:r>
          </w:p>
        </w:tc>
      </w:tr>
      <w:tr w14:paraId="4037B80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FEC10">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3AC1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开展老旧小区、危房改造工作</w:t>
            </w:r>
          </w:p>
        </w:tc>
      </w:tr>
      <w:tr w14:paraId="187AECD4">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5E49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C9D4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承担卫生公共厕所管理维护，改善人居环境</w:t>
            </w:r>
          </w:p>
        </w:tc>
      </w:tr>
      <w:tr w14:paraId="0E7D0847">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DF06C">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F8D6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开展小区物业管理服务，调解物业管理纠纷、业委会管理、物业公司招标、智慧物业平台管理等工作</w:t>
            </w:r>
          </w:p>
        </w:tc>
      </w:tr>
      <w:tr w14:paraId="3632D62C">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BA2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4F97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开展市容环境提质、基础设施更新等公共空间治理</w:t>
            </w:r>
          </w:p>
        </w:tc>
      </w:tr>
      <w:tr w14:paraId="1A821219">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700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280A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开展对公共场地临时堆放物料、搭建临时设施的审批，依法对违法堆放或搭建行为进行巡查处置</w:t>
            </w:r>
          </w:p>
        </w:tc>
      </w:tr>
      <w:tr w14:paraId="602B38E6">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F73A">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711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开展市容环境卫生监督管理，依法制止破坏市容环境行为</w:t>
            </w:r>
          </w:p>
        </w:tc>
      </w:tr>
      <w:tr w14:paraId="25EA4B72">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DAC6">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0279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开展辖区内店铺门头招牌设置监管并做好备案，依法制止违法经营行为</w:t>
            </w:r>
          </w:p>
        </w:tc>
      </w:tr>
      <w:tr w14:paraId="49A3F74E">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55A5C">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EC0C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推进智慧城管与信用城管建设</w:t>
            </w:r>
          </w:p>
        </w:tc>
      </w:tr>
      <w:tr w14:paraId="7002F258">
        <w:tblPrEx>
          <w:tblCellMar>
            <w:top w:w="0" w:type="dxa"/>
            <w:left w:w="108" w:type="dxa"/>
            <w:bottom w:w="0" w:type="dxa"/>
            <w:right w:w="108" w:type="dxa"/>
          </w:tblCellMar>
        </w:tblPrEx>
        <w:trPr>
          <w:cantSplit/>
          <w:trHeight w:val="658"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2DD0D">
            <w:pPr>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六、生态环保（7项）</w:t>
            </w:r>
          </w:p>
        </w:tc>
      </w:tr>
      <w:tr w14:paraId="1D6AE931">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2276">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8A1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按照职责分工负责本行政区域内生态环境保护工作及生态环境质量，动员和组织社会力量积极参与并认真做好污染源普查工作</w:t>
            </w:r>
          </w:p>
        </w:tc>
      </w:tr>
      <w:tr w14:paraId="04336AF3">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4EBE">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F0BD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开展水体管护工作，承担对辖区内河道的日常巡查</w:t>
            </w:r>
          </w:p>
        </w:tc>
      </w:tr>
      <w:tr w14:paraId="1DA1149C">
        <w:tblPrEx>
          <w:tblCellMar>
            <w:top w:w="0" w:type="dxa"/>
            <w:left w:w="108" w:type="dxa"/>
            <w:bottom w:w="0" w:type="dxa"/>
            <w:right w:w="108" w:type="dxa"/>
          </w:tblCellMar>
        </w:tblPrEx>
        <w:trPr>
          <w:cantSplit/>
          <w:trHeight w:val="65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19AA">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12C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开展建设工程施工现场扬尘污染防控治理，依法制止建筑垃圾非法处置行为</w:t>
            </w:r>
          </w:p>
        </w:tc>
      </w:tr>
      <w:tr w14:paraId="39ADEB91">
        <w:tblPrEx>
          <w:tblCellMar>
            <w:top w:w="0" w:type="dxa"/>
            <w:left w:w="108" w:type="dxa"/>
            <w:bottom w:w="0" w:type="dxa"/>
            <w:right w:w="108" w:type="dxa"/>
          </w:tblCellMar>
        </w:tblPrEx>
        <w:trPr>
          <w:cantSplit/>
          <w:trHeight w:val="709"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10E73">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3EC2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负责辖区范围内餐饮业经营行为的日常监管，做好餐厨废弃物的收集处理</w:t>
            </w:r>
          </w:p>
        </w:tc>
      </w:tr>
      <w:tr w14:paraId="2A3BC084">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36D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D63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开展节水抗旱宣传教育，落实节约用水措施</w:t>
            </w:r>
          </w:p>
        </w:tc>
      </w:tr>
      <w:tr w14:paraId="1562E88D">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72DA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5F5E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实施水土保持方案，开展水土巡查，预防和减轻水土流失等工作</w:t>
            </w:r>
          </w:p>
        </w:tc>
      </w:tr>
      <w:tr w14:paraId="10252D0E">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CE3F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0AB4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开展垃圾分类宣传，建立收集转运体系，加强设施设备管护</w:t>
            </w:r>
          </w:p>
        </w:tc>
      </w:tr>
      <w:tr w14:paraId="19D0597B">
        <w:tblPrEx>
          <w:tblCellMar>
            <w:top w:w="0" w:type="dxa"/>
            <w:left w:w="108" w:type="dxa"/>
            <w:bottom w:w="0" w:type="dxa"/>
            <w:right w:w="108" w:type="dxa"/>
          </w:tblCellMar>
        </w:tblPrEx>
        <w:trPr>
          <w:cantSplit/>
          <w:trHeight w:val="624"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BF011">
            <w:pPr>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七、文化和旅游（6项）</w:t>
            </w:r>
          </w:p>
        </w:tc>
      </w:tr>
      <w:tr w14:paraId="1BC992EC">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584A">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C3A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健全公共文化服务体系，培育、发展、壮大文化产业和文化事业</w:t>
            </w:r>
          </w:p>
        </w:tc>
      </w:tr>
      <w:tr w14:paraId="1FD5C5E6">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463B">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0DF8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组织创作文艺作品，开展公共文化活动，挖掘本土特色文化</w:t>
            </w:r>
          </w:p>
        </w:tc>
      </w:tr>
      <w:tr w14:paraId="02C6B8E3">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10BE0">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60FC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负责全民健身设施建设、文体场馆管理，为群众性体育活动提供服务保障</w:t>
            </w:r>
          </w:p>
        </w:tc>
      </w:tr>
      <w:tr w14:paraId="52527588">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B4BA">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C81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组织落实“扫黄打非”专项工作，推进出版物市场健康发展</w:t>
            </w:r>
          </w:p>
        </w:tc>
      </w:tr>
      <w:tr w14:paraId="5727E253">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EBE0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1B1E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负责“新盛街”特色街区建设、开发和运营，保护老城区历史文化资源，打造非遗传承特色文化品牌</w:t>
            </w:r>
          </w:p>
        </w:tc>
      </w:tr>
      <w:tr w14:paraId="1377303C">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0078">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D1F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打造“一社区一特色”文化矩阵，开展“乐享幸福”主题文明实践活动</w:t>
            </w:r>
          </w:p>
        </w:tc>
      </w:tr>
      <w:tr w14:paraId="1973DDF5">
        <w:tblPrEx>
          <w:tblCellMar>
            <w:top w:w="0" w:type="dxa"/>
            <w:left w:w="108" w:type="dxa"/>
            <w:bottom w:w="0" w:type="dxa"/>
            <w:right w:w="108" w:type="dxa"/>
          </w:tblCellMar>
        </w:tblPrEx>
        <w:trPr>
          <w:cantSplit/>
          <w:trHeight w:val="658"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2533C">
            <w:pPr>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八、应急管理及消防（5项）</w:t>
            </w:r>
          </w:p>
        </w:tc>
      </w:tr>
      <w:tr w14:paraId="78C88DCA">
        <w:tblPrEx>
          <w:tblCellMar>
            <w:top w:w="0" w:type="dxa"/>
            <w:left w:w="108" w:type="dxa"/>
            <w:bottom w:w="0" w:type="dxa"/>
            <w:right w:w="108" w:type="dxa"/>
          </w:tblCellMar>
        </w:tblPrEx>
        <w:trPr>
          <w:cantSplit/>
          <w:trHeight w:val="85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43E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1DBB">
            <w:pPr>
              <w:pStyle w:val="26"/>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 w:val="21"/>
                <w:szCs w:val="21"/>
                <w:lang w:val="en-US" w:eastAsia="zh-CN" w:bidi="ar"/>
              </w:rPr>
              <w:t>承担应急管理（含消防）知识宣传普及工作，发生事故灾难、自然灾害等突发事件后第一时间上报，按照突发事件应急预案组织开展群众疏散、初期救援等先期处置工作</w:t>
            </w:r>
          </w:p>
        </w:tc>
      </w:tr>
      <w:tr w14:paraId="3886AE15">
        <w:tblPrEx>
          <w:tblCellMar>
            <w:top w:w="0" w:type="dxa"/>
            <w:left w:w="108" w:type="dxa"/>
            <w:bottom w:w="0" w:type="dxa"/>
            <w:right w:w="108" w:type="dxa"/>
          </w:tblCellMar>
        </w:tblPrEx>
        <w:trPr>
          <w:cantSplit/>
          <w:trHeight w:val="686"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4ADA">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DFE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对辖区内安全风险等级较低、问题隐患易发现易处置的生产经营单位（不包括涉及危险化学品、矿山、金属冶炼等生产企业）开展日常检查，督促监管范围内的各类单位落实安全生产主体责任</w:t>
            </w:r>
          </w:p>
        </w:tc>
      </w:tr>
      <w:tr w14:paraId="6442DBE9">
        <w:tblPrEx>
          <w:tblCellMar>
            <w:top w:w="0" w:type="dxa"/>
            <w:left w:w="108" w:type="dxa"/>
            <w:bottom w:w="0" w:type="dxa"/>
            <w:right w:w="108" w:type="dxa"/>
          </w:tblCellMar>
        </w:tblPrEx>
        <w:trPr>
          <w:cantSplit/>
          <w:trHeight w:val="68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1A35">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D0C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按照分级分类监管原则，对辖区内单位、场所（不包括消防安全重点单位）开展易发现、易处置的日常检查，督促监管范围内的各类单位落实消防安全主体责任</w:t>
            </w:r>
          </w:p>
        </w:tc>
      </w:tr>
      <w:tr w14:paraId="75D6249E">
        <w:tblPrEx>
          <w:tblCellMar>
            <w:top w:w="0" w:type="dxa"/>
            <w:left w:w="108" w:type="dxa"/>
            <w:bottom w:w="0" w:type="dxa"/>
            <w:right w:w="108" w:type="dxa"/>
          </w:tblCellMar>
        </w:tblPrEx>
        <w:trPr>
          <w:cantSplit/>
          <w:trHeight w:val="59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6D5C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E9B8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开展自然灾害的受损情况统计及防范救助工作</w:t>
            </w:r>
          </w:p>
        </w:tc>
      </w:tr>
      <w:tr w14:paraId="3FB91014">
        <w:tblPrEx>
          <w:tblCellMar>
            <w:top w:w="0" w:type="dxa"/>
            <w:left w:w="108" w:type="dxa"/>
            <w:bottom w:w="0" w:type="dxa"/>
            <w:right w:w="108" w:type="dxa"/>
          </w:tblCellMar>
        </w:tblPrEx>
        <w:trPr>
          <w:cantSplit/>
          <w:trHeight w:val="59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5456">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FB43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落实防汛抗旱工作举措，开展防汛抢险物资筹集和发放</w:t>
            </w:r>
          </w:p>
        </w:tc>
      </w:tr>
      <w:tr w14:paraId="2575DFE7">
        <w:tblPrEx>
          <w:tblCellMar>
            <w:top w:w="0" w:type="dxa"/>
            <w:left w:w="108" w:type="dxa"/>
            <w:bottom w:w="0" w:type="dxa"/>
            <w:right w:w="108" w:type="dxa"/>
          </w:tblCellMar>
        </w:tblPrEx>
        <w:trPr>
          <w:cantSplit/>
          <w:trHeight w:val="658" w:hRule="atLeast"/>
        </w:trPr>
        <w:tc>
          <w:tcPr>
            <w:tcW w:w="14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00320">
            <w:pPr>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九、综合政务（7项）</w:t>
            </w:r>
          </w:p>
        </w:tc>
      </w:tr>
      <w:tr w14:paraId="11D2A266">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0CD7F">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44D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承担公文办理、会务保障、值班值守、信息报送、安全保密及节能减排等工作</w:t>
            </w:r>
          </w:p>
        </w:tc>
      </w:tr>
      <w:tr w14:paraId="72F26151">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26A3">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30BB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落实政府信息公开条例规定，开展政府信息公开与网络问政工作</w:t>
            </w:r>
          </w:p>
        </w:tc>
      </w:tr>
      <w:tr w14:paraId="6119F530">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E9595">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BA41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推进社区党务、居务、财务公开，加强对社区资金使用的监督</w:t>
            </w:r>
          </w:p>
        </w:tc>
      </w:tr>
      <w:tr w14:paraId="066A6D6D">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60BE">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8E9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执行预决算、会计核算、资金监管、财务档案管理等基层财政制度</w:t>
            </w:r>
          </w:p>
        </w:tc>
      </w:tr>
      <w:tr w14:paraId="6605D370">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F01E1">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103</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2AE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承担对社区资产、资源和资金的使用管理，提高集体经营性收入水平</w:t>
            </w:r>
          </w:p>
        </w:tc>
      </w:tr>
      <w:tr w14:paraId="28A03E4A">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FA0D">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104</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B9A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负责档案基础设施建设、档案保管利用和查询服务工作</w:t>
            </w:r>
          </w:p>
        </w:tc>
      </w:tr>
      <w:tr w14:paraId="28C4CA66">
        <w:tblPrEx>
          <w:tblCellMar>
            <w:top w:w="0" w:type="dxa"/>
            <w:left w:w="108" w:type="dxa"/>
            <w:bottom w:w="0" w:type="dxa"/>
            <w:right w:w="108" w:type="dxa"/>
          </w:tblCellMar>
        </w:tblPrEx>
        <w:trPr>
          <w:cantSplit/>
          <w:trHeight w:val="62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19795">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105</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2E73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负责地方志、年鉴等收集、整理、编撰工作</w:t>
            </w:r>
          </w:p>
        </w:tc>
      </w:tr>
    </w:tbl>
    <w:p w14:paraId="2411881F">
      <w:pPr>
        <w:pStyle w:val="3"/>
        <w:spacing w:before="0" w:after="0" w:line="240" w:lineRule="auto"/>
        <w:jc w:val="center"/>
        <w:rPr>
          <w:rFonts w:hint="default" w:ascii="Times New Roman" w:hAnsi="Times New Roman" w:eastAsia="方正小标宋_GBK" w:cs="Times New Roman"/>
          <w:color w:val="auto"/>
          <w:lang w:eastAsia="zh-CN" w:bidi="ar"/>
        </w:rPr>
      </w:pPr>
      <w:r>
        <w:rPr>
          <w:rFonts w:hint="default" w:ascii="Times New Roman" w:hAnsi="Times New Roman" w:eastAsia="方正小标宋_GBK" w:cs="Times New Roman"/>
          <w:color w:val="auto"/>
          <w:lang w:eastAsia="zh-CN" w:bidi="ar"/>
        </w:rPr>
        <w:br w:type="page"/>
      </w:r>
      <w:r>
        <w:rPr>
          <w:rFonts w:hint="default" w:ascii="Times New Roman" w:hAnsi="Times New Roman" w:eastAsia="方正小标宋_GBK" w:cs="Times New Roman"/>
          <w:b w:val="0"/>
          <w:bCs w:val="0"/>
          <w:color w:val="auto"/>
          <w:lang w:val="en-US" w:eastAsia="zh-CN" w:bidi="ar"/>
        </w:rPr>
        <w:t>配合履职事项清单</w:t>
      </w:r>
    </w:p>
    <w:tbl>
      <w:tblPr>
        <w:tblStyle w:val="13"/>
        <w:tblW w:w="14623" w:type="dxa"/>
        <w:tblInd w:w="-307" w:type="dxa"/>
        <w:tblLayout w:type="autofit"/>
        <w:tblCellMar>
          <w:top w:w="0" w:type="dxa"/>
          <w:left w:w="108" w:type="dxa"/>
          <w:bottom w:w="0" w:type="dxa"/>
          <w:right w:w="108" w:type="dxa"/>
        </w:tblCellMar>
      </w:tblPr>
      <w:tblGrid>
        <w:gridCol w:w="733"/>
        <w:gridCol w:w="2085"/>
        <w:gridCol w:w="1890"/>
        <w:gridCol w:w="4725"/>
        <w:gridCol w:w="5190"/>
      </w:tblGrid>
      <w:tr w14:paraId="56DD503A">
        <w:trPr>
          <w:cantSplit/>
          <w:trHeight w:val="588" w:hRule="atLeast"/>
          <w:tblHeader/>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DBBC5">
            <w:pPr>
              <w:keepNext w:val="0"/>
              <w:keepLines w:val="0"/>
              <w:pageBreakBefore w:val="0"/>
              <w:widowControl/>
              <w:kinsoku/>
              <w:wordWrap/>
              <w:overflowPunct/>
              <w:topLinePunct w:val="0"/>
              <w:bidi w:val="0"/>
              <w:jc w:val="center"/>
              <w:textAlignment w:val="center"/>
              <w:rPr>
                <w:rFonts w:hint="default" w:ascii="Times New Roman" w:hAnsi="Times New Roman" w:eastAsia="方正黑体_GBK" w:cs="Times New Roman"/>
                <w:i w:val="0"/>
                <w:iCs w:val="0"/>
                <w:color w:val="auto"/>
                <w:kern w:val="0"/>
                <w:sz w:val="24"/>
                <w:szCs w:val="24"/>
                <w:highlight w:val="none"/>
                <w:u w:val="none"/>
                <w:lang w:val="en-US" w:eastAsia="zh-CN" w:bidi="ar"/>
              </w:rPr>
            </w:pPr>
            <w:r>
              <w:rPr>
                <w:rFonts w:hint="default" w:ascii="Times New Roman" w:hAnsi="Times New Roman" w:eastAsia="方正黑体_GBK" w:cs="Times New Roman"/>
                <w:i w:val="0"/>
                <w:iCs w:val="0"/>
                <w:color w:val="auto"/>
                <w:kern w:val="0"/>
                <w:sz w:val="24"/>
                <w:szCs w:val="24"/>
                <w:highlight w:val="none"/>
                <w:u w:val="none"/>
                <w:lang w:val="en-US" w:eastAsia="zh-CN" w:bidi="ar"/>
              </w:rPr>
              <w:t>序号</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6A5B">
            <w:pPr>
              <w:keepNext w:val="0"/>
              <w:keepLines w:val="0"/>
              <w:pageBreakBefore w:val="0"/>
              <w:widowControl/>
              <w:kinsoku/>
              <w:wordWrap/>
              <w:overflowPunct/>
              <w:topLinePunct w:val="0"/>
              <w:bidi w:val="0"/>
              <w:jc w:val="center"/>
              <w:textAlignment w:val="center"/>
              <w:rPr>
                <w:rFonts w:hint="default" w:ascii="Times New Roman" w:hAnsi="Times New Roman" w:eastAsia="方正黑体_GBK" w:cs="Times New Roman"/>
                <w:i w:val="0"/>
                <w:iCs w:val="0"/>
                <w:color w:val="auto"/>
                <w:kern w:val="0"/>
                <w:sz w:val="24"/>
                <w:szCs w:val="24"/>
                <w:highlight w:val="none"/>
                <w:u w:val="none"/>
                <w:lang w:val="en-US" w:eastAsia="zh-CN" w:bidi="ar"/>
              </w:rPr>
            </w:pPr>
            <w:r>
              <w:rPr>
                <w:rFonts w:hint="default" w:ascii="Times New Roman" w:hAnsi="Times New Roman" w:eastAsia="方正黑体_GBK" w:cs="Times New Roman"/>
                <w:i w:val="0"/>
                <w:iCs w:val="0"/>
                <w:color w:val="auto"/>
                <w:kern w:val="0"/>
                <w:sz w:val="24"/>
                <w:szCs w:val="24"/>
                <w:highlight w:val="none"/>
                <w:u w:val="none"/>
                <w:lang w:val="en-US" w:eastAsia="zh-CN" w:bidi="ar"/>
              </w:rPr>
              <w:t>事项名称</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C070">
            <w:pPr>
              <w:keepNext w:val="0"/>
              <w:keepLines w:val="0"/>
              <w:pageBreakBefore w:val="0"/>
              <w:widowControl/>
              <w:kinsoku/>
              <w:wordWrap/>
              <w:overflowPunct/>
              <w:topLinePunct w:val="0"/>
              <w:bidi w:val="0"/>
              <w:jc w:val="center"/>
              <w:textAlignment w:val="center"/>
              <w:rPr>
                <w:rFonts w:hint="default" w:ascii="Times New Roman" w:hAnsi="Times New Roman" w:eastAsia="方正黑体_GBK" w:cs="Times New Roman"/>
                <w:i w:val="0"/>
                <w:iCs w:val="0"/>
                <w:color w:val="auto"/>
                <w:kern w:val="0"/>
                <w:sz w:val="24"/>
                <w:szCs w:val="24"/>
                <w:highlight w:val="none"/>
                <w:u w:val="none"/>
                <w:lang w:val="en-US" w:eastAsia="zh-CN" w:bidi="ar"/>
              </w:rPr>
            </w:pPr>
            <w:r>
              <w:rPr>
                <w:rFonts w:hint="default" w:ascii="Times New Roman" w:hAnsi="Times New Roman" w:eastAsia="方正黑体_GBK" w:cs="Times New Roman"/>
                <w:i w:val="0"/>
                <w:iCs w:val="0"/>
                <w:color w:val="auto"/>
                <w:kern w:val="0"/>
                <w:sz w:val="24"/>
                <w:szCs w:val="24"/>
                <w:highlight w:val="none"/>
                <w:u w:val="none"/>
                <w:lang w:val="en-US" w:eastAsia="zh-CN" w:bidi="ar"/>
              </w:rPr>
              <w:t>对应上级部门</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066AE">
            <w:pPr>
              <w:keepNext w:val="0"/>
              <w:keepLines w:val="0"/>
              <w:pageBreakBefore w:val="0"/>
              <w:widowControl/>
              <w:kinsoku/>
              <w:wordWrap/>
              <w:overflowPunct/>
              <w:topLinePunct w:val="0"/>
              <w:bidi w:val="0"/>
              <w:jc w:val="center"/>
              <w:textAlignment w:val="center"/>
              <w:rPr>
                <w:rFonts w:hint="default" w:ascii="Times New Roman" w:hAnsi="Times New Roman" w:eastAsia="方正黑体_GBK" w:cs="Times New Roman"/>
                <w:i w:val="0"/>
                <w:iCs w:val="0"/>
                <w:color w:val="auto"/>
                <w:kern w:val="0"/>
                <w:sz w:val="24"/>
                <w:szCs w:val="24"/>
                <w:highlight w:val="none"/>
                <w:u w:val="none"/>
                <w:lang w:val="en-US" w:eastAsia="zh-CN" w:bidi="ar"/>
              </w:rPr>
            </w:pPr>
            <w:r>
              <w:rPr>
                <w:rFonts w:hint="default" w:ascii="Times New Roman" w:hAnsi="Times New Roman" w:eastAsia="方正黑体_GBK" w:cs="Times New Roman"/>
                <w:i w:val="0"/>
                <w:iCs w:val="0"/>
                <w:color w:val="auto"/>
                <w:kern w:val="0"/>
                <w:sz w:val="24"/>
                <w:szCs w:val="24"/>
                <w:highlight w:val="none"/>
                <w:u w:val="none"/>
                <w:lang w:val="en-US" w:eastAsia="zh-CN" w:bidi="ar"/>
              </w:rPr>
              <w:t>上级部门职责</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8BD57">
            <w:pPr>
              <w:keepNext w:val="0"/>
              <w:keepLines w:val="0"/>
              <w:pageBreakBefore w:val="0"/>
              <w:widowControl/>
              <w:kinsoku/>
              <w:wordWrap/>
              <w:overflowPunct/>
              <w:topLinePunct w:val="0"/>
              <w:bidi w:val="0"/>
              <w:jc w:val="center"/>
              <w:textAlignment w:val="center"/>
              <w:rPr>
                <w:rFonts w:hint="default" w:ascii="Times New Roman" w:hAnsi="Times New Roman" w:eastAsia="方正黑体_GBK" w:cs="Times New Roman"/>
                <w:i w:val="0"/>
                <w:iCs w:val="0"/>
                <w:color w:val="auto"/>
                <w:kern w:val="0"/>
                <w:sz w:val="24"/>
                <w:szCs w:val="24"/>
                <w:highlight w:val="none"/>
                <w:u w:val="none"/>
                <w:lang w:val="en-US" w:eastAsia="zh-CN" w:bidi="ar"/>
              </w:rPr>
            </w:pPr>
            <w:r>
              <w:rPr>
                <w:rFonts w:hint="default" w:ascii="Times New Roman" w:hAnsi="Times New Roman" w:eastAsia="方正黑体_GBK" w:cs="Times New Roman"/>
                <w:i w:val="0"/>
                <w:iCs w:val="0"/>
                <w:color w:val="auto"/>
                <w:kern w:val="0"/>
                <w:sz w:val="24"/>
                <w:szCs w:val="24"/>
                <w:highlight w:val="none"/>
                <w:u w:val="none"/>
                <w:lang w:val="en-US" w:eastAsia="zh-CN" w:bidi="ar"/>
              </w:rPr>
              <w:t>乡镇</w:t>
            </w:r>
            <w:r>
              <w:rPr>
                <w:rFonts w:hint="default" w:ascii="Times New Roman" w:hAnsi="Times New Roman" w:eastAsia="方正黑体_GBK" w:cs="Times New Roman"/>
                <w:i w:val="0"/>
                <w:iCs w:val="0"/>
                <w:color w:val="auto"/>
                <w:kern w:val="0"/>
                <w:sz w:val="24"/>
                <w:szCs w:val="24"/>
                <w:highlight w:val="none"/>
                <w:u w:val="none"/>
                <w:lang w:val="en-US" w:eastAsia="zh-CN" w:bidi="ar"/>
              </w:rPr>
              <w:t>（</w:t>
            </w:r>
            <w:r>
              <w:rPr>
                <w:rFonts w:hint="default" w:ascii="Times New Roman" w:hAnsi="Times New Roman" w:eastAsia="方正黑体_GBK" w:cs="Times New Roman"/>
                <w:i w:val="0"/>
                <w:iCs w:val="0"/>
                <w:color w:val="auto"/>
                <w:kern w:val="0"/>
                <w:sz w:val="24"/>
                <w:szCs w:val="24"/>
                <w:highlight w:val="none"/>
                <w:u w:val="none"/>
                <w:lang w:val="en-US" w:eastAsia="zh-CN" w:bidi="ar"/>
              </w:rPr>
              <w:t>街道）</w:t>
            </w:r>
            <w:r>
              <w:rPr>
                <w:rFonts w:hint="default" w:ascii="Times New Roman" w:hAnsi="Times New Roman" w:eastAsia="方正黑体_GBK" w:cs="Times New Roman"/>
                <w:i w:val="0"/>
                <w:iCs w:val="0"/>
                <w:color w:val="auto"/>
                <w:kern w:val="0"/>
                <w:sz w:val="24"/>
                <w:szCs w:val="24"/>
                <w:highlight w:val="none"/>
                <w:u w:val="none"/>
                <w:lang w:val="en-US" w:eastAsia="zh-CN" w:bidi="ar"/>
              </w:rPr>
              <w:t>配合职责</w:t>
            </w:r>
          </w:p>
        </w:tc>
      </w:tr>
      <w:tr w14:paraId="7F3E650B">
        <w:tblPrEx>
          <w:tblCellMar>
            <w:top w:w="0" w:type="dxa"/>
            <w:left w:w="108" w:type="dxa"/>
            <w:bottom w:w="0" w:type="dxa"/>
            <w:right w:w="108" w:type="dxa"/>
          </w:tblCellMar>
        </w:tblPrEx>
        <w:trPr>
          <w:cantSplit/>
          <w:trHeight w:val="482"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798CB12">
            <w:pPr>
              <w:keepNext w:val="0"/>
              <w:keepLines w:val="0"/>
              <w:pageBreakBefore w:val="0"/>
              <w:widowControl/>
              <w:kinsoku/>
              <w:wordWrap/>
              <w:overflowPunct/>
              <w:topLinePunct w:val="0"/>
              <w:bidi w:val="0"/>
              <w:textAlignment w:val="center"/>
              <w:rPr>
                <w:rFonts w:hint="default" w:ascii="Times New Roman" w:hAnsi="Times New Roman" w:eastAsia="方正黑体_GBK" w:cs="Times New Roman"/>
                <w:i w:val="0"/>
                <w:iCs w:val="0"/>
                <w:color w:val="auto"/>
                <w:kern w:val="0"/>
                <w:sz w:val="24"/>
                <w:szCs w:val="24"/>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一、党的建设（2项）</w:t>
            </w:r>
          </w:p>
        </w:tc>
      </w:tr>
      <w:tr w14:paraId="6A8B8A72">
        <w:tblPrEx>
          <w:tblCellMar>
            <w:top w:w="0" w:type="dxa"/>
            <w:left w:w="108" w:type="dxa"/>
            <w:bottom w:w="0" w:type="dxa"/>
            <w:right w:w="108" w:type="dxa"/>
          </w:tblCellMar>
        </w:tblPrEx>
        <w:trPr>
          <w:cantSplit/>
          <w:trHeight w:val="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A2F4">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eastAsia="zh-CN" w:bidi="ar"/>
              </w:rPr>
            </w:pPr>
            <w:r>
              <w:rPr>
                <w:rFonts w:hint="default" w:ascii="Times New Roman" w:hAnsi="Times New Roman" w:eastAsia="方正公文黑体" w:cs="Times New Roman"/>
                <w:color w:val="auto"/>
                <w:lang w:eastAsia="zh-CN" w:bidi="ar"/>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2B4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开展政治素质监测、干部调训参训工作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4AF7">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宿城区委组织部</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837DD">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1.研究提出领导班子和领导干部队伍建设的规划和干部管理体制的意见。</w:t>
            </w:r>
          </w:p>
          <w:p w14:paraId="621EE8B1">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2.考察了解全区干部政治表现，做好“三不型”干部发现识别及认定管理、区委干部选拔任用“一报告两评议”。</w:t>
            </w:r>
          </w:p>
          <w:p w14:paraId="022D386B">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3.做好全区干部教育培训工作的政策、规划和年度调（培）训计划制定及落实。</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09094">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1.做好政治素质监测站运营管理，收集干部政治素质表现信息。</w:t>
            </w:r>
          </w:p>
          <w:p w14:paraId="04DBC8BD">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2.组织本</w:t>
            </w:r>
            <w:r>
              <w:rPr>
                <w:rFonts w:hint="default" w:ascii="Times New Roman" w:hAnsi="Times New Roman" w:eastAsia="方正仿宋_GBK" w:cs="Times New Roman"/>
                <w:snapToGrid w:val="0"/>
                <w:color w:val="auto"/>
                <w:kern w:val="0"/>
                <w:szCs w:val="21"/>
                <w:lang w:val="en-US" w:eastAsia="zh-CN" w:bidi="ar"/>
              </w:rPr>
              <w:t>街道</w:t>
            </w:r>
            <w:r>
              <w:rPr>
                <w:rFonts w:hint="default" w:ascii="Times New Roman" w:hAnsi="Times New Roman" w:eastAsia="方正仿宋_GBK" w:cs="Times New Roman"/>
                <w:snapToGrid w:val="0"/>
                <w:color w:val="auto"/>
                <w:kern w:val="0"/>
                <w:szCs w:val="21"/>
                <w:lang w:eastAsia="zh-CN" w:bidi="ar"/>
              </w:rPr>
              <w:t>干部撰写报送选拔任用“一报告两评议”材料。</w:t>
            </w:r>
          </w:p>
          <w:p w14:paraId="73E9A2CF">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3.报送年度干部教育培训班次计划，配合做好相关班次的人员调训参训，完成相关线上学习培训。</w:t>
            </w:r>
          </w:p>
        </w:tc>
      </w:tr>
      <w:tr w14:paraId="56EB92D1">
        <w:tblPrEx>
          <w:tblCellMar>
            <w:top w:w="0" w:type="dxa"/>
            <w:left w:w="108" w:type="dxa"/>
            <w:bottom w:w="0" w:type="dxa"/>
            <w:right w:w="108" w:type="dxa"/>
          </w:tblCellMar>
        </w:tblPrEx>
        <w:trPr>
          <w:cantSplit/>
          <w:trHeight w:val="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17AE">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公文仿宋" w:cs="Times New Roman"/>
                <w:snapToGrid w:val="0"/>
                <w:color w:val="auto"/>
                <w:kern w:val="0"/>
                <w:szCs w:val="21"/>
                <w:lang w:eastAsia="zh-CN" w:bidi="ar"/>
              </w:rPr>
            </w:pPr>
            <w:r>
              <w:rPr>
                <w:rFonts w:hint="default" w:ascii="Times New Roman" w:hAnsi="Times New Roman" w:eastAsia="方正公文仿宋" w:cs="Times New Roman"/>
                <w:snapToGrid w:val="0"/>
                <w:color w:val="auto"/>
                <w:kern w:val="0"/>
                <w:szCs w:val="21"/>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76F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开展政治巡察，做好巡察整改及成果运用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F4A23">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宿城区委巡察工作办公室</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D658A">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1.承担区委巡察工作领导小组日常工作，落实巡察工作各项部署。</w:t>
            </w:r>
          </w:p>
          <w:p w14:paraId="578A2585">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2.督办有关决定事项，统筹、协调、指导、保障巡察工作开展。</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A926">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1.配合开展巡察工作，提交巡察组指定的工作台账资料，接受巡察人员问询。</w:t>
            </w:r>
          </w:p>
          <w:p w14:paraId="3BBDC852">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2.落实巡察整改任务，报告整改工作完成情况。</w:t>
            </w:r>
          </w:p>
        </w:tc>
      </w:tr>
      <w:tr w14:paraId="4DD3CCA8">
        <w:tblPrEx>
          <w:tblCellMar>
            <w:top w:w="0" w:type="dxa"/>
            <w:left w:w="108" w:type="dxa"/>
            <w:bottom w:w="0" w:type="dxa"/>
            <w:right w:w="108" w:type="dxa"/>
          </w:tblCellMar>
        </w:tblPrEx>
        <w:trPr>
          <w:cantSplit/>
          <w:trHeight w:val="588"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2B1A45">
            <w:pPr>
              <w:keepNext w:val="0"/>
              <w:keepLines w:val="0"/>
              <w:pageBreakBefore w:val="0"/>
              <w:widowControl/>
              <w:kinsoku/>
              <w:wordWrap/>
              <w:overflowPunct/>
              <w:topLinePunct w:val="0"/>
              <w:bidi w:val="0"/>
              <w:jc w:val="left"/>
              <w:textAlignment w:val="center"/>
              <w:rPr>
                <w:rFonts w:hint="default" w:ascii="Times New Roman" w:hAnsi="Times New Roman" w:eastAsia="方正黑体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二、社会管理（10项）</w:t>
            </w:r>
          </w:p>
        </w:tc>
      </w:tr>
      <w:tr w14:paraId="27CA244C">
        <w:tblPrEx>
          <w:tblCellMar>
            <w:top w:w="0" w:type="dxa"/>
            <w:left w:w="108" w:type="dxa"/>
            <w:bottom w:w="0" w:type="dxa"/>
            <w:right w:w="108" w:type="dxa"/>
          </w:tblCellMar>
        </w:tblPrEx>
        <w:trPr>
          <w:cantSplit/>
          <w:trHeight w:val="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4963A">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公文仿宋" w:cs="Times New Roman"/>
                <w:snapToGrid w:val="0"/>
                <w:color w:val="auto"/>
                <w:kern w:val="0"/>
                <w:szCs w:val="21"/>
                <w:lang w:eastAsia="zh-CN" w:bidi="ar"/>
              </w:rPr>
            </w:pPr>
            <w:r>
              <w:rPr>
                <w:rFonts w:hint="default" w:ascii="Times New Roman" w:hAnsi="Times New Roman" w:eastAsia="方正公文仿宋" w:cs="Times New Roman"/>
                <w:snapToGrid w:val="0"/>
                <w:color w:val="auto"/>
                <w:kern w:val="0"/>
                <w:szCs w:val="21"/>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B63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开展电信诈骗、扫黑除恶等重点领域违法行为专项治理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7C340">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宿城区委政法</w:t>
            </w:r>
          </w:p>
          <w:p w14:paraId="4D4E787C">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委员会</w:t>
            </w:r>
          </w:p>
          <w:p w14:paraId="21D2BE46">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宿迁市公安局</w:t>
            </w:r>
          </w:p>
          <w:p w14:paraId="15EFD2B0">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7F878">
            <w:pPr>
              <w:keepNext w:val="0"/>
              <w:keepLines w:val="0"/>
              <w:pageBreakBefore w:val="0"/>
              <w:widowControl/>
              <w:kinsoku/>
              <w:wordWrap/>
              <w:overflowPunct/>
              <w:topLinePunct w:val="0"/>
              <w:autoSpaceDE w:val="0"/>
              <w:autoSpaceDN w:val="0"/>
              <w:bidi w:val="0"/>
              <w:adjustRightInd w:val="0"/>
              <w:snapToGrid w:val="0"/>
              <w:spacing w:line="24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1.宿城区委政法委负责建立健全社会治安防控体系，统筹推进平安</w:t>
            </w:r>
            <w:r>
              <w:rPr>
                <w:rFonts w:hint="default" w:ascii="Times New Roman" w:hAnsi="Times New Roman" w:eastAsia="方正仿宋_GBK" w:cs="Times New Roman"/>
                <w:snapToGrid w:val="0"/>
                <w:color w:val="auto"/>
                <w:kern w:val="0"/>
                <w:szCs w:val="21"/>
                <w:lang w:val="en-US" w:eastAsia="zh-CN" w:bidi="ar"/>
              </w:rPr>
              <w:t>建设</w:t>
            </w:r>
            <w:r>
              <w:rPr>
                <w:rFonts w:hint="default" w:ascii="Times New Roman" w:hAnsi="Times New Roman" w:eastAsia="方正仿宋_GBK" w:cs="Times New Roman"/>
                <w:snapToGrid w:val="0"/>
                <w:color w:val="auto"/>
                <w:kern w:val="0"/>
                <w:szCs w:val="21"/>
                <w:lang w:eastAsia="zh-CN" w:bidi="ar"/>
              </w:rPr>
              <w:t>和治安防范活动，做好扫黑除恶工作的统筹规划、协调联络、上传下达、台账建立、交接交办工作。</w:t>
            </w:r>
          </w:p>
          <w:p w14:paraId="3EDA8288">
            <w:pPr>
              <w:keepNext w:val="0"/>
              <w:keepLines w:val="0"/>
              <w:pageBreakBefore w:val="0"/>
              <w:widowControl/>
              <w:kinsoku/>
              <w:wordWrap/>
              <w:overflowPunct/>
              <w:topLinePunct w:val="0"/>
              <w:autoSpaceDE w:val="0"/>
              <w:autoSpaceDN w:val="0"/>
              <w:bidi w:val="0"/>
              <w:adjustRightInd w:val="0"/>
              <w:snapToGrid w:val="0"/>
              <w:spacing w:line="24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2.宿迁市公安局宿城分局落实推进平安建设、平安联创等工作，推进智慧前端建设和织网补盲，开展警务与保安行业联勤联动。</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0B36">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1.协助建立社会治安防控网。</w:t>
            </w:r>
          </w:p>
          <w:p w14:paraId="28682A27">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2.受理和转报群众举报的涉黑涉恶案件线索，协助办理上级交办的易处置的涉黑涉恶案件。</w:t>
            </w:r>
          </w:p>
          <w:p w14:paraId="1474FF24">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3.开展养老诈骗、电信网络诈骗案件线索受理、转报，协助办理易处置案件。</w:t>
            </w:r>
          </w:p>
          <w:p w14:paraId="0BE5282B">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4.加强日常巡查，发现问题线索及时上报。</w:t>
            </w:r>
          </w:p>
        </w:tc>
      </w:tr>
      <w:tr w14:paraId="7F444EAB">
        <w:tblPrEx>
          <w:tblCellMar>
            <w:top w:w="0" w:type="dxa"/>
            <w:left w:w="108" w:type="dxa"/>
            <w:bottom w:w="0" w:type="dxa"/>
            <w:right w:w="108" w:type="dxa"/>
          </w:tblCellMar>
        </w:tblPrEx>
        <w:trPr>
          <w:cantSplit/>
          <w:trHeight w:val="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59CF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公文黑体" w:cs="Times New Roman"/>
                <w:color w:val="auto"/>
                <w:lang w:eastAsia="zh-CN" w:bidi="ar"/>
              </w:rPr>
            </w:pPr>
            <w:r>
              <w:rPr>
                <w:rFonts w:hint="default" w:ascii="Times New Roman" w:hAnsi="Times New Roman" w:cs="Times New Roman"/>
                <w:color w:val="auto"/>
                <w:kern w:val="0"/>
                <w:szCs w:val="21"/>
                <w:lang w:val="en-US" w:eastAsia="zh-CN"/>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5C96">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eastAsia="zh-CN" w:bidi="ar"/>
              </w:rPr>
            </w:pPr>
            <w:r>
              <w:rPr>
                <w:rFonts w:hint="default" w:ascii="Times New Roman" w:hAnsi="Times New Roman" w:eastAsia="方正仿宋_GBK" w:cs="Times New Roman"/>
                <w:snapToGrid w:val="0"/>
                <w:color w:val="auto"/>
                <w:kern w:val="0"/>
                <w:szCs w:val="21"/>
                <w:highlight w:val="none"/>
                <w:lang w:val="en-US" w:eastAsia="zh-CN" w:bidi="ar"/>
              </w:rPr>
              <w:t>妇女创业就业支持和困难妇女救助关爱工作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F8E70">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宿城区妇联</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F205">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1.负责低收入妇女“两癌”救助、市级妇女创业就业引导资金等申报。</w:t>
            </w:r>
          </w:p>
          <w:p w14:paraId="391D2346">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2.开展“三八国际妇女节”主题活动、“乡村振兴巾帼行动”专项就业创业培训。</w:t>
            </w:r>
          </w:p>
          <w:p w14:paraId="4BFE6C12">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eastAsia="zh-CN" w:bidi="ar"/>
              </w:rPr>
            </w:pPr>
            <w:r>
              <w:rPr>
                <w:rFonts w:hint="default" w:ascii="Times New Roman" w:hAnsi="Times New Roman" w:eastAsia="方正仿宋_GBK" w:cs="Times New Roman"/>
                <w:snapToGrid w:val="0"/>
                <w:color w:val="auto"/>
                <w:kern w:val="0"/>
                <w:szCs w:val="21"/>
                <w:highlight w:val="none"/>
                <w:lang w:val="en-US" w:eastAsia="zh-CN" w:bidi="ar"/>
              </w:rPr>
              <w:t>3.做好困难妇女儿童家庭问题排查和“一户一策”精准微关爱工作。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F04CF">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1.指导申请人填写“两癌”患病妇女或困境妇女儿童救助申报表和提供相关证明材料，并对相关材料进行初审、上报；配合走访慰问。</w:t>
            </w:r>
          </w:p>
          <w:p w14:paraId="77C6283A">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2.对辖区妇女创业就业引导资金的申报材料进行初审并上报，配合市、区妇联对资金使用情况进行走访调查。</w:t>
            </w:r>
          </w:p>
          <w:p w14:paraId="0ECDE468">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eastAsia="zh-CN" w:bidi="ar"/>
              </w:rPr>
            </w:pPr>
            <w:r>
              <w:rPr>
                <w:rFonts w:hint="default" w:ascii="Times New Roman" w:hAnsi="Times New Roman" w:eastAsia="方正仿宋_GBK" w:cs="Times New Roman"/>
                <w:snapToGrid w:val="0"/>
                <w:color w:val="auto"/>
                <w:kern w:val="0"/>
                <w:szCs w:val="21"/>
                <w:highlight w:val="none"/>
                <w:lang w:val="en-US" w:eastAsia="zh-CN" w:bidi="ar"/>
              </w:rPr>
              <w:t>3.指导申报单位完善申报材料。</w:t>
            </w:r>
          </w:p>
        </w:tc>
      </w:tr>
      <w:tr w14:paraId="63FACB1A">
        <w:tblPrEx>
          <w:tblCellMar>
            <w:top w:w="0" w:type="dxa"/>
            <w:left w:w="108" w:type="dxa"/>
            <w:bottom w:w="0" w:type="dxa"/>
            <w:right w:w="108" w:type="dxa"/>
          </w:tblCellMar>
        </w:tblPrEx>
        <w:trPr>
          <w:cantSplit/>
          <w:trHeight w:val="168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20CE3">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58DC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开展国防动员潜力统计调查，执行区战备执勤任务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B049">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宿城区人民武装部</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CE754">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1.负责开展国防动员潜力统计，调查掌握辖区内军事设施保护情况，落实军民通用装备器材预征预储。</w:t>
            </w:r>
          </w:p>
          <w:p w14:paraId="5026B078">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2.掌握辖区内重大民社情，指导各镇（街道）做好年度战备工作。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8F15">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1.配合开展辖区内国防动员潜力统计调查，报送辖区内军事设施管理使用情况。</w:t>
            </w:r>
          </w:p>
          <w:p w14:paraId="546A849D">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2.根据上级要求，协助征集辖区内军民通用装备器材，结合实际做好储备保存工作。</w:t>
            </w:r>
          </w:p>
          <w:p w14:paraId="0B45CF28">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3.排查上报辖区内民社情，组织民兵担负区战备值班分队工作任务。</w:t>
            </w:r>
          </w:p>
        </w:tc>
      </w:tr>
      <w:tr w14:paraId="51173EB0">
        <w:tblPrEx>
          <w:tblCellMar>
            <w:top w:w="0" w:type="dxa"/>
            <w:left w:w="108" w:type="dxa"/>
            <w:bottom w:w="0" w:type="dxa"/>
            <w:right w:w="108" w:type="dxa"/>
          </w:tblCellMar>
        </w:tblPrEx>
        <w:trPr>
          <w:cantSplit/>
          <w:trHeight w:val="109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DCD3">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3099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司法所规范化建设工作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34E55">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宿城区司法局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DF7B0">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加强对司法所装备、设施、场所保障工作指导，按要求选聘</w:t>
            </w:r>
            <w:r>
              <w:rPr>
                <w:rFonts w:hint="default" w:ascii="Times New Roman" w:hAnsi="Times New Roman" w:eastAsia="方正仿宋_GBK" w:cs="Times New Roman"/>
                <w:snapToGrid w:val="0"/>
                <w:color w:val="auto"/>
                <w:kern w:val="0"/>
                <w:szCs w:val="21"/>
                <w:lang w:val="en-US" w:eastAsia="zh-CN" w:bidi="ar"/>
              </w:rPr>
              <w:t>司法协理员</w:t>
            </w:r>
            <w:r>
              <w:rPr>
                <w:rFonts w:hint="default" w:ascii="Times New Roman" w:hAnsi="Times New Roman" w:eastAsia="方正仿宋_GBK" w:cs="Times New Roman"/>
                <w:snapToGrid w:val="0"/>
                <w:color w:val="auto"/>
                <w:kern w:val="0"/>
                <w:szCs w:val="21"/>
                <w:lang w:eastAsia="zh-CN" w:bidi="ar"/>
              </w:rPr>
              <w:t>。</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EA3FA">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1.落实宿城区司法局选聘人员专岗专用要求，</w:t>
            </w:r>
            <w:r>
              <w:rPr>
                <w:rFonts w:hint="default" w:ascii="Times New Roman" w:hAnsi="Times New Roman" w:eastAsia="方正仿宋_GBK" w:cs="Times New Roman"/>
                <w:snapToGrid w:val="0"/>
                <w:color w:val="auto"/>
                <w:kern w:val="0"/>
                <w:szCs w:val="21"/>
                <w:lang w:val="en-US" w:eastAsia="zh-CN" w:bidi="ar"/>
              </w:rPr>
              <w:t>司法协理员到岗履职</w:t>
            </w:r>
            <w:r>
              <w:rPr>
                <w:rFonts w:hint="default" w:ascii="Times New Roman" w:hAnsi="Times New Roman" w:eastAsia="方正仿宋_GBK" w:cs="Times New Roman"/>
                <w:snapToGrid w:val="0"/>
                <w:color w:val="auto"/>
                <w:kern w:val="0"/>
                <w:szCs w:val="21"/>
                <w:lang w:eastAsia="zh-CN" w:bidi="ar"/>
              </w:rPr>
              <w:t>。</w:t>
            </w:r>
          </w:p>
          <w:p w14:paraId="519B7357">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2.提供符合规定的业务用房，支持和保障“一镇（</w:t>
            </w:r>
            <w:r>
              <w:rPr>
                <w:rFonts w:hint="default" w:ascii="Times New Roman" w:hAnsi="Times New Roman" w:eastAsia="方正仿宋_GBK" w:cs="Times New Roman"/>
                <w:snapToGrid w:val="0"/>
                <w:color w:val="auto"/>
                <w:kern w:val="0"/>
                <w:szCs w:val="21"/>
                <w:lang w:val="en-US" w:eastAsia="zh-CN" w:bidi="ar"/>
              </w:rPr>
              <w:t>街道</w:t>
            </w:r>
            <w:r>
              <w:rPr>
                <w:rFonts w:hint="default" w:ascii="Times New Roman" w:hAnsi="Times New Roman" w:eastAsia="方正仿宋_GBK" w:cs="Times New Roman"/>
                <w:snapToGrid w:val="0"/>
                <w:color w:val="auto"/>
                <w:kern w:val="0"/>
                <w:szCs w:val="21"/>
                <w:lang w:eastAsia="zh-CN" w:bidi="ar"/>
              </w:rPr>
              <w:t>）一所一品牌”打造。</w:t>
            </w:r>
          </w:p>
        </w:tc>
      </w:tr>
      <w:tr w14:paraId="2E8CE631">
        <w:tblPrEx>
          <w:tblCellMar>
            <w:top w:w="0" w:type="dxa"/>
            <w:left w:w="108" w:type="dxa"/>
            <w:bottom w:w="0" w:type="dxa"/>
            <w:right w:w="108" w:type="dxa"/>
          </w:tblCellMar>
        </w:tblPrEx>
        <w:trPr>
          <w:cantSplit/>
          <w:trHeight w:val="220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6715D">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27DD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行政区划管理和历史地名保护</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AE31C">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宿城区民政局</w:t>
            </w:r>
          </w:p>
          <w:p w14:paraId="2D4CC12D">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宿城区城市管理局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261AD">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1.宿城区民政局负责拟订全区地名管理</w:t>
            </w:r>
            <w:r>
              <w:rPr>
                <w:rFonts w:hint="default" w:ascii="Times New Roman" w:hAnsi="Times New Roman" w:eastAsia="方正仿宋_GBK" w:cs="Times New Roman"/>
                <w:snapToGrid w:val="0"/>
                <w:color w:val="auto"/>
                <w:kern w:val="0"/>
                <w:szCs w:val="21"/>
                <w:lang w:val="en-US" w:eastAsia="zh-CN" w:bidi="ar"/>
              </w:rPr>
              <w:t>规范性文件</w:t>
            </w:r>
            <w:r>
              <w:rPr>
                <w:rFonts w:hint="default" w:ascii="Times New Roman" w:hAnsi="Times New Roman" w:eastAsia="方正仿宋_GBK" w:cs="Times New Roman"/>
                <w:snapToGrid w:val="0"/>
                <w:color w:val="auto"/>
                <w:kern w:val="0"/>
                <w:szCs w:val="21"/>
                <w:lang w:eastAsia="zh-CN" w:bidi="ar"/>
              </w:rPr>
              <w:t>和相关标准，做好地名管理工作。</w:t>
            </w:r>
          </w:p>
          <w:p w14:paraId="473EC3C0">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2.</w:t>
            </w:r>
            <w:r>
              <w:rPr>
                <w:rFonts w:hint="default" w:ascii="Times New Roman" w:hAnsi="Times New Roman" w:eastAsia="方正仿宋_GBK" w:cs="Times New Roman"/>
                <w:snapToGrid w:val="0"/>
                <w:color w:val="auto"/>
                <w:kern w:val="0"/>
                <w:szCs w:val="21"/>
                <w:lang w:val="en-US" w:eastAsia="zh-CN" w:bidi="ar"/>
              </w:rPr>
              <w:t xml:space="preserve">宿城区民政局办理区政府申报行政区划设立、调整、更名和政府驻地迁移事项。   </w:t>
            </w:r>
          </w:p>
          <w:p w14:paraId="5AC857B4">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3.宿城区民政局开展行政区域界线的勘定和管理工作。</w:t>
            </w:r>
          </w:p>
          <w:p w14:paraId="4A0CC697">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4.宿城区民政局会同宿城区城市管理局开展地名公共服务。</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A2EFD">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1.配合处理行政区域边界争议。</w:t>
            </w:r>
          </w:p>
          <w:p w14:paraId="0BBEA5E9">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2.根据行政区划变更，上报地名命名更名方案。</w:t>
            </w:r>
          </w:p>
          <w:p w14:paraId="36325E6B">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val="en-US" w:eastAsia="zh-CN" w:bidi="ar"/>
              </w:rPr>
              <w:t>3.宣传、推广标准地名的使用，协助做好标准地名标志的设置与管理。</w:t>
            </w:r>
          </w:p>
        </w:tc>
      </w:tr>
      <w:tr w14:paraId="406C13E1">
        <w:tblPrEx>
          <w:tblCellMar>
            <w:top w:w="0" w:type="dxa"/>
            <w:left w:w="108" w:type="dxa"/>
            <w:bottom w:w="0" w:type="dxa"/>
            <w:right w:w="108" w:type="dxa"/>
          </w:tblCellMar>
        </w:tblPrEx>
        <w:trPr>
          <w:cantSplit/>
          <w:trHeight w:val="70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DD4A">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57FB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规范政务服务场所办事流程</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DF5F1">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宿城区数据局</w:t>
            </w:r>
          </w:p>
          <w:p w14:paraId="22F3B673">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（政务办）</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9A43">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规范镇（街道）便民服务中心场所设立、政务服务窗口设置、窗口业务办理等。</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4229A">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1.按照便民服务场所标准化要求，建设便民服务中心。</w:t>
            </w:r>
          </w:p>
          <w:p w14:paraId="66FF35B4">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2.开展对社区便民服务站建设的指导管理。</w:t>
            </w:r>
          </w:p>
        </w:tc>
      </w:tr>
      <w:tr w14:paraId="5F26F1D1">
        <w:tblPrEx>
          <w:tblCellMar>
            <w:top w:w="0" w:type="dxa"/>
            <w:left w:w="108" w:type="dxa"/>
            <w:bottom w:w="0" w:type="dxa"/>
            <w:right w:w="108" w:type="dxa"/>
          </w:tblCellMar>
        </w:tblPrEx>
        <w:trPr>
          <w:cantSplit/>
          <w:trHeight w:val="1139"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1DD46">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5F86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群租房、自建房等小型建筑质量安全监管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40AA">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B8F03">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负责对群租房、自建房等小型建筑质量安全的指导、监督管理。</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C07BC">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1.对辖区内自建房建设以及不需要办理施工许可的工程项目建设进行日常巡查、管理。</w:t>
            </w:r>
          </w:p>
          <w:p w14:paraId="1CC70A44">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2.做好群租房、自建房等小型建筑日常排查、管理。</w:t>
            </w:r>
          </w:p>
          <w:p w14:paraId="2513A8C6">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3.梳理掌握低收入群体住房信息。</w:t>
            </w:r>
          </w:p>
        </w:tc>
      </w:tr>
      <w:tr w14:paraId="21E3F570">
        <w:tblPrEx>
          <w:tblCellMar>
            <w:top w:w="0" w:type="dxa"/>
            <w:left w:w="108" w:type="dxa"/>
            <w:bottom w:w="0" w:type="dxa"/>
            <w:right w:w="108" w:type="dxa"/>
          </w:tblCellMar>
        </w:tblPrEx>
        <w:trPr>
          <w:cantSplit/>
          <w:trHeight w:val="128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685F9">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F24F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开展陪审员选任、立法草案征求意见工作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32C9">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宿城区司法局</w:t>
            </w:r>
          </w:p>
          <w:p w14:paraId="7687FC58">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宿城区人民法院</w:t>
            </w:r>
          </w:p>
          <w:p w14:paraId="1075A37D">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宿迁市公安局</w:t>
            </w:r>
          </w:p>
          <w:p w14:paraId="289F05C8">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7B4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1.相关部门共同开展人民陪审员选任工作。</w:t>
            </w:r>
          </w:p>
          <w:p w14:paraId="20BC9EF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2.宿城区司法局发挥“法治民意直通车”各平台载体作用，广泛征集立法草案意见建议。</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D88B4">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1.开展人民陪审员候选人资格审查。</w:t>
            </w:r>
          </w:p>
          <w:p w14:paraId="7FB014F3">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2.引导公众参与立法草案征求意见活动。</w:t>
            </w:r>
          </w:p>
        </w:tc>
      </w:tr>
      <w:tr w14:paraId="7C1AD288">
        <w:tblPrEx>
          <w:tblCellMar>
            <w:top w:w="0" w:type="dxa"/>
            <w:left w:w="108" w:type="dxa"/>
            <w:bottom w:w="0" w:type="dxa"/>
            <w:right w:w="108" w:type="dxa"/>
          </w:tblCellMar>
        </w:tblPrEx>
        <w:trPr>
          <w:cantSplit/>
          <w:trHeight w:val="170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6ADB">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8586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法院执行、巡回审判工作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7E4C">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宿城区人民法院</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903E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1.建立协助执行案件流程管理规程，完善梳理排查、移交办理、结案反馈等工作环节，规范镇（街道）协助执行工作机制。</w:t>
            </w:r>
          </w:p>
          <w:p w14:paraId="066617B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2.对镇（街道）协助执行情况定期梳理分析，完善运行及保障机制。</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3919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1.依托网格配合做好协助送达、查找当事人、协查财产线索、督促履行、参与执行见证等工作。</w:t>
            </w:r>
          </w:p>
          <w:p w14:paraId="10C7DD1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2.对涉探视权、相邻权、恢复原状、赡养费、抚养费等执行案件，协助督促当事人执行。</w:t>
            </w:r>
          </w:p>
        </w:tc>
      </w:tr>
      <w:tr w14:paraId="575615BA">
        <w:tblPrEx>
          <w:tblCellMar>
            <w:top w:w="0" w:type="dxa"/>
            <w:left w:w="108" w:type="dxa"/>
            <w:bottom w:w="0" w:type="dxa"/>
            <w:right w:w="108" w:type="dxa"/>
          </w:tblCellMar>
        </w:tblPrEx>
        <w:trPr>
          <w:cantSplit/>
          <w:trHeight w:val="114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F8BA3">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BEFF">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落实学校（幼儿园）安全工作责任</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FAEA">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宿城区教育局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65D6">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1.负责建立教育、公安、市场监管等有关部门参加的学校（幼儿园）安全管理协作机制。</w:t>
            </w:r>
          </w:p>
          <w:p w14:paraId="41C5B5C6">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2.督促各有关部门做好学生、幼儿伤害事故预防与处理工作。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FBA4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配合区教育局开展辖区学校（幼儿园）日常安全检查和隐患排查，发现问题及时上报。</w:t>
            </w:r>
          </w:p>
        </w:tc>
      </w:tr>
      <w:tr w14:paraId="3913650C">
        <w:tblPrEx>
          <w:tblCellMar>
            <w:top w:w="0" w:type="dxa"/>
            <w:left w:w="108" w:type="dxa"/>
            <w:bottom w:w="0" w:type="dxa"/>
            <w:right w:w="108" w:type="dxa"/>
          </w:tblCellMar>
        </w:tblPrEx>
        <w:trPr>
          <w:cantSplit/>
          <w:trHeight w:val="658"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0364D93">
            <w:pPr>
              <w:keepNext w:val="0"/>
              <w:keepLines w:val="0"/>
              <w:pageBreakBefore w:val="0"/>
              <w:widowControl/>
              <w:kinsoku/>
              <w:wordWrap/>
              <w:overflowPunct/>
              <w:topLinePunct w:val="0"/>
              <w:bidi w:val="0"/>
              <w:jc w:val="left"/>
              <w:textAlignment w:val="center"/>
              <w:rPr>
                <w:rFonts w:hint="default" w:ascii="Times New Roman" w:hAnsi="Times New Roman" w:eastAsia="方正黑体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三、社会保障（10项）</w:t>
            </w:r>
          </w:p>
        </w:tc>
      </w:tr>
      <w:tr w14:paraId="432C0A75">
        <w:tblPrEx>
          <w:tblCellMar>
            <w:top w:w="0" w:type="dxa"/>
            <w:left w:w="108" w:type="dxa"/>
            <w:bottom w:w="0" w:type="dxa"/>
            <w:right w:w="108" w:type="dxa"/>
          </w:tblCellMar>
        </w:tblPrEx>
        <w:trPr>
          <w:cantSplit/>
          <w:trHeight w:val="1378"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DE87C">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3BDF">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养老托育服务设施建设</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7FB4">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宿城区发展和</w:t>
            </w:r>
          </w:p>
          <w:p w14:paraId="7BFEDD74">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改革局</w:t>
            </w:r>
          </w:p>
          <w:p w14:paraId="17126525">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宿城区卫生健康局</w:t>
            </w:r>
          </w:p>
          <w:p w14:paraId="56E19503">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宿城区民政局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97F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1.宿城区发展和改革局梳理掌握镇（街道）托育养老工作完成情况。</w:t>
            </w:r>
          </w:p>
          <w:p w14:paraId="0C49B4F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2.宿城区民政局、宿城区卫生健康局指导做好养老托育设施改造提升工作。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B62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建立健全辖区养老托育服务网络，协助新建和改建养老托育设施，推动养老托育服务能力向社区、家庭延伸。</w:t>
            </w:r>
          </w:p>
        </w:tc>
      </w:tr>
      <w:tr w14:paraId="019CE628">
        <w:tblPrEx>
          <w:tblCellMar>
            <w:top w:w="0" w:type="dxa"/>
            <w:left w:w="108" w:type="dxa"/>
            <w:bottom w:w="0" w:type="dxa"/>
            <w:right w:w="108" w:type="dxa"/>
          </w:tblCellMar>
        </w:tblPrEx>
        <w:trPr>
          <w:cantSplit/>
          <w:trHeight w:val="133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6F0DB">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B0C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残疾人社区辅助性就业岗位的开发与管理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0847B">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宿城区残联</w:t>
            </w:r>
          </w:p>
          <w:p w14:paraId="0F4EEE3A">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宿城区财政局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A54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1.宿城区残联要做好辅助性就业岗位的审批、统计汇总、经费拨付和补贴资金使用情况的监管工作。</w:t>
            </w:r>
          </w:p>
          <w:p w14:paraId="3D87063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2.宿城区财政局要做好经费的及时拨付和监管。</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4ED9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负责对岗位的开发、筛选、审核、日常管理和考核。</w:t>
            </w:r>
          </w:p>
        </w:tc>
      </w:tr>
      <w:tr w14:paraId="276D8C04">
        <w:tblPrEx>
          <w:tblCellMar>
            <w:top w:w="0" w:type="dxa"/>
            <w:left w:w="108" w:type="dxa"/>
            <w:bottom w:w="0" w:type="dxa"/>
            <w:right w:w="108" w:type="dxa"/>
          </w:tblCellMar>
        </w:tblPrEx>
        <w:trPr>
          <w:cantSplit/>
          <w:trHeight w:val="131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16AA">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278D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开展残疾人补贴资金监管、保险理赔和就业培训工作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D293F">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宿城区残联</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7DDD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1.负责救助工作的统计汇总，监督资金使用。</w:t>
            </w:r>
          </w:p>
          <w:p w14:paraId="72FC311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2.做好未参加基本医保的生活困难残疾人参保工作。</w:t>
            </w:r>
          </w:p>
          <w:p w14:paraId="22AC1A94">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3.为残疾人等困难人群提供政策服务。</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F996">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1.开展辖区内残疾人政策宣传，协助残疾人申请意外伤害保险理赔。</w:t>
            </w:r>
          </w:p>
          <w:p w14:paraId="15E8C11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2.摸排辖区内残疾人的就业情况并及时上报。</w:t>
            </w:r>
          </w:p>
          <w:p w14:paraId="1867E9A9">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3.动员辖区内未就业的残疾人参加区级技能培训。</w:t>
            </w:r>
          </w:p>
        </w:tc>
      </w:tr>
      <w:tr w14:paraId="3123B8CA">
        <w:tblPrEx>
          <w:tblCellMar>
            <w:top w:w="0" w:type="dxa"/>
            <w:left w:w="108" w:type="dxa"/>
            <w:bottom w:w="0" w:type="dxa"/>
            <w:right w:w="108" w:type="dxa"/>
          </w:tblCellMar>
        </w:tblPrEx>
        <w:trPr>
          <w:cantSplit/>
          <w:trHeight w:val="669"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A2406">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3354">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参保居民丧葬补助金的审核发放</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A4556">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宿城区人力资源和社会保障局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0B7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负责做好丧葬补助金的复核及发放工作。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EA4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1.协助开展丧葬补助金初审工作。</w:t>
            </w:r>
          </w:p>
          <w:p w14:paraId="4C71DCF9">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2.配合做好居民养老保险缴费查询工作。</w:t>
            </w:r>
          </w:p>
        </w:tc>
      </w:tr>
      <w:tr w14:paraId="22D43ADC">
        <w:tblPrEx>
          <w:tblCellMar>
            <w:top w:w="0" w:type="dxa"/>
            <w:left w:w="108" w:type="dxa"/>
            <w:bottom w:w="0" w:type="dxa"/>
            <w:right w:w="108" w:type="dxa"/>
          </w:tblCellMar>
        </w:tblPrEx>
        <w:trPr>
          <w:cantSplit/>
          <w:trHeight w:val="19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5D6E">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C67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提供创业补贴发放、招工引才、创业贷款办理等服务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1EF90">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宿城区人力资源和社会保障局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53F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1.对申报资料和创业实体进行调查和资料审核，按季度汇总报同级财政部门按规定核拨资金。</w:t>
            </w:r>
          </w:p>
          <w:p w14:paraId="0B2FCBE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2.安排招聘活动，归集招聘需求，举办招聘活动。</w:t>
            </w:r>
          </w:p>
          <w:p w14:paraId="1D3D934E">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3.向贷款申请人提供创业指导、创业培训等服务。</w:t>
            </w:r>
          </w:p>
          <w:p w14:paraId="1805A1DC">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4.做好个人富民创业担保贷款申请的资质认定，扩大创业贷款受益面。</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E9A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1.对创业补贴申报材料进行初审，对创业项目进行现场核查后上报。</w:t>
            </w:r>
          </w:p>
          <w:p w14:paraId="2D0C68E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2.组织人员参加区级招聘活动，做好本级层面招聘活动，调查、收集、汇总企业招工信息，配合企业招工引才。</w:t>
            </w:r>
          </w:p>
          <w:p w14:paraId="195D030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3.受理贷款申请，确定创业者身份类别并作出标识。</w:t>
            </w:r>
          </w:p>
        </w:tc>
      </w:tr>
      <w:tr w14:paraId="57D52F9D">
        <w:tblPrEx>
          <w:tblCellMar>
            <w:top w:w="0" w:type="dxa"/>
            <w:left w:w="108" w:type="dxa"/>
            <w:bottom w:w="0" w:type="dxa"/>
            <w:right w:w="108" w:type="dxa"/>
          </w:tblCellMar>
        </w:tblPrEx>
        <w:trPr>
          <w:cantSplit/>
          <w:trHeight w:val="170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761DD">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ED3A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医保政策宣传与保费收缴</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8C68">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宿城区税务局</w:t>
            </w:r>
          </w:p>
          <w:p w14:paraId="7F1C3772">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宿城区医疗保障局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B9F66">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1.宿城区医疗保障局下发居民医疗保险待遇调整政策文件。</w:t>
            </w:r>
          </w:p>
          <w:p w14:paraId="033F31D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2.宿城区税务局组织做好“江苏税务”APP、微信“江苏税务社保缴纳”、支付宝“江苏税务社保缴纳”小程序缴费。</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FEF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1.通过发放宣传单、召开会议、播放广播等形式开展政策宣传。</w:t>
            </w:r>
          </w:p>
          <w:p w14:paraId="5EB5C2BE">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2.协助做好征缴工作。</w:t>
            </w:r>
          </w:p>
        </w:tc>
      </w:tr>
      <w:tr w14:paraId="7A2F9B12">
        <w:tblPrEx>
          <w:tblCellMar>
            <w:top w:w="0" w:type="dxa"/>
            <w:left w:w="108" w:type="dxa"/>
            <w:bottom w:w="0" w:type="dxa"/>
            <w:right w:w="108" w:type="dxa"/>
          </w:tblCellMar>
        </w:tblPrEx>
        <w:trPr>
          <w:cantSplit/>
          <w:trHeight w:val="1661"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A1053">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19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6766E">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伤残抚恤资金使用情况监督管理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7A014">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宿城区退役军人</w:t>
            </w:r>
          </w:p>
          <w:p w14:paraId="25A497E4">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事务局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4ED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1.对伤残抚恤金申报材料进行核实和资格审查。</w:t>
            </w:r>
          </w:p>
          <w:p w14:paraId="5F7AF46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2.建立执法联动机制，对优抚对象冒领抚恤金、优待金、补助金，伪造证件或印章骗取抚恤金、优待金、补助金，冒领、骗取烈士褒扬金和抚恤金等违法行为进行查处。</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A66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1.协助追缴违规领取的伤残抚恤金。</w:t>
            </w:r>
          </w:p>
          <w:p w14:paraId="0FA9A12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2.对发现的违法违规领取抚恤金的问题线索，及时上报。</w:t>
            </w:r>
          </w:p>
        </w:tc>
      </w:tr>
      <w:tr w14:paraId="5ACC74E0">
        <w:tblPrEx>
          <w:tblCellMar>
            <w:top w:w="0" w:type="dxa"/>
            <w:left w:w="108" w:type="dxa"/>
            <w:bottom w:w="0" w:type="dxa"/>
            <w:right w:w="108" w:type="dxa"/>
          </w:tblCellMar>
        </w:tblPrEx>
        <w:trPr>
          <w:cantSplit/>
          <w:trHeight w:val="901"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87BBD">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3809">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打造退役军人服务平台，开展志愿服务活动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9864">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宿城区退役军人</w:t>
            </w:r>
          </w:p>
          <w:p w14:paraId="40B2980B">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事务局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90A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1.打造特色化服务站和优秀退役军人之家。</w:t>
            </w:r>
          </w:p>
          <w:p w14:paraId="46B9EE7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2.做好全区退役军人志愿服务筹划、组织、检查、指导等工作。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FC0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1.推荐辖区内企业打造“戎耀之家”，为特色化服务站和优秀退役军人之家提供场所阵地、基础设备等保障。</w:t>
            </w:r>
          </w:p>
          <w:p w14:paraId="33480AA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2.组建退役军人志愿服务队，开展退役军人志愿服务活动，广泛宣传和选树典型。</w:t>
            </w:r>
          </w:p>
        </w:tc>
      </w:tr>
      <w:tr w14:paraId="43C68B69">
        <w:tblPrEx>
          <w:tblCellMar>
            <w:top w:w="0" w:type="dxa"/>
            <w:left w:w="108" w:type="dxa"/>
            <w:bottom w:w="0" w:type="dxa"/>
            <w:right w:w="108" w:type="dxa"/>
          </w:tblCellMar>
        </w:tblPrEx>
        <w:trPr>
          <w:cantSplit/>
          <w:trHeight w:val="173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3A518">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6E2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低收入家庭住房补贴给付与公共租赁住房申请审核</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AB69">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C28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1.对申请人的家庭住房情况是否符合规定条件提出审核意见，并转送区民政局等部门，做好低收入家庭住房补贴审核发放工作。</w:t>
            </w:r>
          </w:p>
          <w:p w14:paraId="43B2009E">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2.依法对违法违规申请公共租赁住房或申报补贴行为进行查处。</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9773F">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1.对申请人的家庭收入、家庭人口状况、住房状况、财产状况等进行初审，提出初审意见并公示上报。</w:t>
            </w:r>
          </w:p>
          <w:p w14:paraId="1FC65667">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2.对发现违法违规申请公共租赁住房或申报补贴的问题线索，及时上报。</w:t>
            </w:r>
          </w:p>
        </w:tc>
      </w:tr>
      <w:tr w14:paraId="6B356865">
        <w:tblPrEx>
          <w:tblCellMar>
            <w:top w:w="0" w:type="dxa"/>
            <w:left w:w="108" w:type="dxa"/>
            <w:bottom w:w="0" w:type="dxa"/>
            <w:right w:w="108" w:type="dxa"/>
          </w:tblCellMar>
        </w:tblPrEx>
        <w:trPr>
          <w:cantSplit/>
          <w:trHeight w:val="1221"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98DF">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0E609">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职业病防治工作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9AB4">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宿城区卫生健康局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16977">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1.负责辖区内职业病防治的监督管理工作，及时处理检举控告信息。</w:t>
            </w:r>
          </w:p>
          <w:p w14:paraId="26936AE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2.对防治职业病成绩显著的单位和个人进行奖励。</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4A73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1.在辖区范围内开展职业病防治政策宣传、科普教育。</w:t>
            </w:r>
          </w:p>
          <w:p w14:paraId="3CDCAE9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2.受理并转报违反职业病防治规定的问题线索，配合调解处理违法违规问题。</w:t>
            </w:r>
          </w:p>
        </w:tc>
      </w:tr>
      <w:tr w14:paraId="08821514">
        <w:tblPrEx>
          <w:tblCellMar>
            <w:top w:w="0" w:type="dxa"/>
            <w:left w:w="108" w:type="dxa"/>
            <w:bottom w:w="0" w:type="dxa"/>
            <w:right w:w="108" w:type="dxa"/>
          </w:tblCellMar>
        </w:tblPrEx>
        <w:trPr>
          <w:cantSplit/>
          <w:trHeight w:val="658"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A965C9">
            <w:pPr>
              <w:keepNext w:val="0"/>
              <w:keepLines w:val="0"/>
              <w:pageBreakBefore w:val="0"/>
              <w:widowControl/>
              <w:kinsoku/>
              <w:wordWrap/>
              <w:overflowPunct/>
              <w:topLinePunct w:val="0"/>
              <w:bidi w:val="0"/>
              <w:jc w:val="left"/>
              <w:textAlignment w:val="center"/>
              <w:rPr>
                <w:rFonts w:hint="default" w:ascii="Times New Roman" w:hAnsi="Times New Roman" w:eastAsia="方正黑体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四、生态环保（7项）</w:t>
            </w:r>
          </w:p>
        </w:tc>
      </w:tr>
      <w:tr w14:paraId="373B7899">
        <w:tblPrEx>
          <w:tblCellMar>
            <w:top w:w="0" w:type="dxa"/>
            <w:left w:w="108" w:type="dxa"/>
            <w:bottom w:w="0" w:type="dxa"/>
            <w:right w:w="108" w:type="dxa"/>
          </w:tblCellMar>
        </w:tblPrEx>
        <w:trPr>
          <w:cantSplit/>
          <w:trHeight w:val="373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C255">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475FE">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大气污染防治</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9F4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宿城生态环境局</w:t>
            </w:r>
          </w:p>
          <w:p w14:paraId="29E6F1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宿城区水利局</w:t>
            </w:r>
          </w:p>
          <w:p w14:paraId="54F5C1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宿城区发展和</w:t>
            </w:r>
          </w:p>
          <w:p w14:paraId="1CA25C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改革局</w:t>
            </w:r>
          </w:p>
          <w:p w14:paraId="3F94ED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宿城区市场监督</w:t>
            </w:r>
          </w:p>
          <w:p w14:paraId="0BC406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管理局</w:t>
            </w:r>
          </w:p>
          <w:p w14:paraId="670957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p w14:paraId="3A28CA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宿城区交通运输局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B48CF">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生态环境局负责制定年度大气污染防治计划，制定重污染天气的应对方案，确定大气污染物减排目标及具体实施方案，协调推进大气污染联防联控机制，推进重点企业行业大气污染防治整治提升，推进温室气体减排工作。</w:t>
            </w:r>
          </w:p>
          <w:p w14:paraId="717B4AAB">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2.宿城区水利局负责水利工程扬尘污染防治。</w:t>
            </w:r>
          </w:p>
          <w:p w14:paraId="010C3772">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3.宿城区发展和改革局负责清洁能源保障工作。</w:t>
            </w:r>
          </w:p>
          <w:p w14:paraId="764E488C">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4.宿城区市场监督管理局会同生态环境主管部门对锅炉生产、进口、销售和使用环节执行环境保护标准或要求的情况进行监督检查。</w:t>
            </w:r>
          </w:p>
          <w:p w14:paraId="076A034D">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5.宿城区住房和城乡建设局负责建筑工程扬尘污染防治。</w:t>
            </w:r>
          </w:p>
          <w:p w14:paraId="5504F6EA">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6.宿城区交通运输局负责码头扬尘污染防治。</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F481C">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1.加强大气环境保护宣传，普及大气污染防治法律法规和科学知识。</w:t>
            </w:r>
          </w:p>
          <w:p w14:paraId="7CD6128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2.对大气污染防治开展日常巡查。</w:t>
            </w:r>
          </w:p>
          <w:p w14:paraId="15BD132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3.及时制止、处置各类环境污染和生态破坏行为，及时上报涉嫌环境违法情况。</w:t>
            </w:r>
          </w:p>
          <w:p w14:paraId="71DC1149">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 xml:space="preserve">4.受理破坏大气环境投诉，调处环境初信初访和矛盾纠纷。 </w:t>
            </w:r>
          </w:p>
        </w:tc>
      </w:tr>
      <w:tr w14:paraId="535AEB8E">
        <w:tblPrEx>
          <w:tblCellMar>
            <w:top w:w="0" w:type="dxa"/>
            <w:left w:w="108" w:type="dxa"/>
            <w:bottom w:w="0" w:type="dxa"/>
            <w:right w:w="108" w:type="dxa"/>
          </w:tblCellMar>
        </w:tblPrEx>
        <w:trPr>
          <w:cantSplit/>
          <w:trHeight w:val="2621"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21BD">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CB5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水污染防治</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20ED">
            <w:pPr>
              <w:keepNext w:val="0"/>
              <w:keepLines w:val="0"/>
              <w:pageBreakBefore w:val="0"/>
              <w:widowControl/>
              <w:kinsoku/>
              <w:wordWrap/>
              <w:overflowPunct/>
              <w:topLinePunct w:val="0"/>
              <w:autoSpaceDE w:val="0"/>
              <w:autoSpaceDN w:val="0"/>
              <w:bidi w:val="0"/>
              <w:adjustRightInd w:val="0"/>
              <w:snapToGrid w:val="0"/>
              <w:spacing w:line="240" w:lineRule="exact"/>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宿城生态环境局</w:t>
            </w:r>
          </w:p>
          <w:p w14:paraId="017622BB">
            <w:pPr>
              <w:keepNext w:val="0"/>
              <w:keepLines w:val="0"/>
              <w:pageBreakBefore w:val="0"/>
              <w:widowControl/>
              <w:kinsoku/>
              <w:wordWrap/>
              <w:overflowPunct/>
              <w:topLinePunct w:val="0"/>
              <w:autoSpaceDE w:val="0"/>
              <w:autoSpaceDN w:val="0"/>
              <w:bidi w:val="0"/>
              <w:adjustRightInd w:val="0"/>
              <w:snapToGrid w:val="0"/>
              <w:spacing w:line="240" w:lineRule="exact"/>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宿城区水利局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2B083">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1.宿城生态环境局负责对全区水生态环境开展日常监督管理，拟定并组织实施水污染防治计划，配合做好入河排污口日常管理，水污染减排、饮用水水源地生态环境保护，区域流域生态环境补偿等日常管理工作。</w:t>
            </w:r>
          </w:p>
          <w:p w14:paraId="7D8CFF9D">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2.宿城区水利局配合宿城生态环境局对建设单位在江河、湖泊新建、改建、扩建排污口进行审核监管。</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802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1.加强水环境保护宣传教育。</w:t>
            </w:r>
          </w:p>
          <w:p w14:paraId="4D7664D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2.统筹规划建设污水、垃圾处理设施，并保障其正常运行。</w:t>
            </w:r>
          </w:p>
          <w:p w14:paraId="537F5AAC">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3.对水生态环境开展日常巡查，发现违法情况及时上报。</w:t>
            </w:r>
          </w:p>
        </w:tc>
      </w:tr>
      <w:tr w14:paraId="3D149CEA">
        <w:tblPrEx>
          <w:tblCellMar>
            <w:top w:w="0" w:type="dxa"/>
            <w:left w:w="108" w:type="dxa"/>
            <w:bottom w:w="0" w:type="dxa"/>
            <w:right w:w="108" w:type="dxa"/>
          </w:tblCellMar>
        </w:tblPrEx>
        <w:trPr>
          <w:cantSplit/>
          <w:trHeight w:val="828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CB01">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FE45">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lang w:eastAsia="zh-CN" w:bidi="ar"/>
              </w:rPr>
            </w:pPr>
            <w:r>
              <w:rPr>
                <w:rFonts w:hint="default" w:ascii="Times New Roman" w:hAnsi="Times New Roman" w:eastAsia="方正仿宋_GBK" w:cs="Times New Roman"/>
                <w:snapToGrid w:val="0"/>
                <w:color w:val="auto"/>
                <w:kern w:val="0"/>
                <w:szCs w:val="21"/>
                <w:lang w:val="en-US" w:eastAsia="zh-CN" w:bidi="ar"/>
              </w:rPr>
              <w:t>土壤污染防治</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4E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宿城生态环境局</w:t>
            </w:r>
          </w:p>
          <w:p w14:paraId="7F3A36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宿迁市自然资源和规划局宿城分局</w:t>
            </w:r>
          </w:p>
          <w:p w14:paraId="013C76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宿城区农业农村局</w:t>
            </w:r>
          </w:p>
          <w:p w14:paraId="4F00BC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宿城区城市管理局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11B7">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生态环境局负责全区土壤及地下水环境监督管理；承担土壤环境保护职责；贯彻执行土壤污染防治方针政策和管理制度；建立并公开区级土壤污染重点监管企业名单；做好疑似污染地块和污染地块安全利用监管，开展土壤污染风险管控和修复管理；贯彻落实工业用地和经营性用地土壤环境保护管理制度。</w:t>
            </w:r>
          </w:p>
          <w:p w14:paraId="4B782394">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2.宿迁市自然资源和规划局宿城分局依据工业用地和经营性用地土壤环境保护管理制度开展土地流转程序。</w:t>
            </w:r>
          </w:p>
          <w:p w14:paraId="690EEBC2">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宿城区农业农村局负责对耕地环境省级监测点的土壤和农产品进行例行监测；开展受污染耕地分类管理和安全利用工作；配合生态环境部门开展土壤污染治理与修复技术试点；完成耕地土壤环境质量类别动态调整；对未利用地、复垦土地等拟开垦为耕地的，开展土壤污染状况调查；根据耕地环境质量类别划定落实管理措施，控制区域农业面源污染，保障农业用地安全利用，推进农业废弃物综合利用。</w:t>
            </w:r>
          </w:p>
          <w:p w14:paraId="25C85F6E">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4.宿城区城市管理局负责减少区域生活点源污染，提高生活废物处置能力，推进生活垃圾无害化处置，落实并完善生活垃圾分类收运体系建设。</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D04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1.加强土壤污染防治宣传教育和科学普及。</w:t>
            </w:r>
          </w:p>
          <w:p w14:paraId="00C72E72">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2.对土壤及地下水污染防治开展日常巡查，发现情况及时上报。</w:t>
            </w:r>
          </w:p>
          <w:p w14:paraId="4755FCDF">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3.配合开展暂不开发利用污染地块风险管控工作。</w:t>
            </w:r>
          </w:p>
          <w:p w14:paraId="4D772923">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4.配合开展地下水污染防治日常管理工作。</w:t>
            </w:r>
          </w:p>
        </w:tc>
      </w:tr>
      <w:tr w14:paraId="2532CFA2">
        <w:tblPrEx>
          <w:tblCellMar>
            <w:top w:w="0" w:type="dxa"/>
            <w:left w:w="108" w:type="dxa"/>
            <w:bottom w:w="0" w:type="dxa"/>
            <w:right w:w="108" w:type="dxa"/>
          </w:tblCellMar>
        </w:tblPrEx>
        <w:trPr>
          <w:cantSplit/>
          <w:trHeight w:val="825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569FF">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B5114">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lang w:eastAsia="zh-CN" w:bidi="ar"/>
              </w:rPr>
            </w:pPr>
            <w:r>
              <w:rPr>
                <w:rFonts w:hint="default" w:ascii="Times New Roman" w:hAnsi="Times New Roman" w:eastAsia="方正仿宋_GBK" w:cs="Times New Roman"/>
                <w:snapToGrid w:val="0"/>
                <w:color w:val="auto"/>
                <w:kern w:val="0"/>
                <w:szCs w:val="21"/>
                <w:lang w:val="en-US" w:eastAsia="zh-CN" w:bidi="ar"/>
              </w:rPr>
              <w:t>固体废物和危险废物污染防治</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DCC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宿城生态环境局</w:t>
            </w:r>
          </w:p>
          <w:p w14:paraId="62D434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宿城区工业和</w:t>
            </w:r>
          </w:p>
          <w:p w14:paraId="4CB025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信息化局</w:t>
            </w:r>
          </w:p>
          <w:p w14:paraId="3BB1CB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宿迁市自然资源和规划局宿城分局</w:t>
            </w:r>
          </w:p>
          <w:p w14:paraId="57455E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宿城区商务局</w:t>
            </w:r>
          </w:p>
          <w:p w14:paraId="1A4CF7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宿城区卫生健康局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9EDB3">
            <w:pPr>
              <w:keepNext w:val="0"/>
              <w:keepLines w:val="0"/>
              <w:pageBreakBefore w:val="0"/>
              <w:widowControl/>
              <w:kinsoku/>
              <w:wordWrap/>
              <w:overflowPunct/>
              <w:topLinePunct w:val="0"/>
              <w:autoSpaceDE w:val="0"/>
              <w:autoSpaceDN w:val="0"/>
              <w:bidi w:val="0"/>
              <w:adjustRightInd w:val="0"/>
              <w:snapToGrid w:val="0"/>
              <w:spacing w:line="28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生态环境局负责固体废物污染防治的统一监督管理。规范固体废物处理处置行为；督促企业执行危险废物年度管理计划、申报登记、转移联单等管理制度；统筹协调危险废物的利用处置途径，压缩暂存周期，消除风险隐患；加强医疗废物监管，监督医疗废物及时、有序、高效、无害化处置；严格废弃危险化学品管理；对不明属性固体废物的危险特性进行鉴别鉴定；打击危险废物非法倾倒、填埋和非法处置等环境违法行为；组织实施固废污染防治政策、规划和计划。</w:t>
            </w:r>
          </w:p>
          <w:p w14:paraId="421EB046">
            <w:pPr>
              <w:keepNext w:val="0"/>
              <w:keepLines w:val="0"/>
              <w:pageBreakBefore w:val="0"/>
              <w:widowControl/>
              <w:kinsoku/>
              <w:wordWrap/>
              <w:overflowPunct/>
              <w:topLinePunct w:val="0"/>
              <w:autoSpaceDE w:val="0"/>
              <w:autoSpaceDN w:val="0"/>
              <w:bidi w:val="0"/>
              <w:adjustRightInd w:val="0"/>
              <w:snapToGrid w:val="0"/>
              <w:spacing w:line="28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2.宿城区工业和信息化局负责淘汰产生严重污染环境的工业固体废物的落后用能产品、生产工艺、设备的名录实施。</w:t>
            </w:r>
          </w:p>
          <w:p w14:paraId="4345C4B4">
            <w:pPr>
              <w:keepNext w:val="0"/>
              <w:keepLines w:val="0"/>
              <w:pageBreakBefore w:val="0"/>
              <w:widowControl/>
              <w:kinsoku/>
              <w:wordWrap/>
              <w:overflowPunct/>
              <w:topLinePunct w:val="0"/>
              <w:autoSpaceDE w:val="0"/>
              <w:autoSpaceDN w:val="0"/>
              <w:bidi w:val="0"/>
              <w:adjustRightInd w:val="0"/>
              <w:snapToGrid w:val="0"/>
              <w:spacing w:line="28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3.宿迁市自然资源和规划局宿城分局负责编制国土空间规划和相关专项规划时，统筹危险废物转运、集中处置等设施建设需求。</w:t>
            </w:r>
          </w:p>
          <w:p w14:paraId="7C357327">
            <w:pPr>
              <w:keepNext w:val="0"/>
              <w:keepLines w:val="0"/>
              <w:pageBreakBefore w:val="0"/>
              <w:widowControl/>
              <w:kinsoku/>
              <w:wordWrap/>
              <w:overflowPunct/>
              <w:topLinePunct w:val="0"/>
              <w:autoSpaceDE w:val="0"/>
              <w:autoSpaceDN w:val="0"/>
              <w:bidi w:val="0"/>
              <w:adjustRightInd w:val="0"/>
              <w:snapToGrid w:val="0"/>
              <w:spacing w:line="28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4.宿城区商务局负责逐步实现全面禁止洋垃圾进口。</w:t>
            </w:r>
          </w:p>
          <w:p w14:paraId="5CF16088">
            <w:pPr>
              <w:keepNext w:val="0"/>
              <w:keepLines w:val="0"/>
              <w:pageBreakBefore w:val="0"/>
              <w:widowControl/>
              <w:kinsoku/>
              <w:wordWrap/>
              <w:overflowPunct/>
              <w:topLinePunct w:val="0"/>
              <w:autoSpaceDE w:val="0"/>
              <w:autoSpaceDN w:val="0"/>
              <w:bidi w:val="0"/>
              <w:adjustRightInd w:val="0"/>
              <w:snapToGrid w:val="0"/>
              <w:spacing w:line="28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5.宿城区卫生健康局负责督促指导医疗卫生机构依法分类收集本单位产生的医疗废物，交由医疗废物集中处置单位处置；依法履行医疗废物污染防治的相关应急处置工作。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BE2EA">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1.加强防治固体废物污染环境的宣传教育，倡导有利于环境保护的生产方式和生活方式。</w:t>
            </w:r>
          </w:p>
          <w:p w14:paraId="14C6CA6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2.开展废渣污染日常巡查和现场监管，及时制止、处置固体废物污染和生态破坏行为，涉嫌环境违法犯罪的，及时上报。</w:t>
            </w:r>
          </w:p>
          <w:p w14:paraId="212521F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3.配合开展危险废物、一般工业固废规范化管理等专项整治工作。</w:t>
            </w:r>
          </w:p>
          <w:p w14:paraId="6D6E034E">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4.调处涉及固废污染方面的初信初访和矛盾纠纷。</w:t>
            </w:r>
          </w:p>
          <w:p w14:paraId="29EDA4F7">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5.协助上级协商解决跨行政区域的固体废物环境污染和生态破坏的防治。</w:t>
            </w:r>
          </w:p>
          <w:p w14:paraId="25E92D8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6.加强对生活垃圾清扫、收集、转运的组织实施工作。</w:t>
            </w:r>
          </w:p>
        </w:tc>
      </w:tr>
      <w:tr w14:paraId="5AB380FC">
        <w:tblPrEx>
          <w:tblCellMar>
            <w:top w:w="0" w:type="dxa"/>
            <w:left w:w="108" w:type="dxa"/>
            <w:bottom w:w="0" w:type="dxa"/>
            <w:right w:w="108" w:type="dxa"/>
          </w:tblCellMar>
        </w:tblPrEx>
        <w:trPr>
          <w:cantSplit/>
          <w:trHeight w:val="376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6ABC">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12F67">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lang w:eastAsia="zh-CN" w:bidi="ar"/>
              </w:rPr>
            </w:pPr>
            <w:r>
              <w:rPr>
                <w:rFonts w:hint="default" w:ascii="Times New Roman" w:hAnsi="Times New Roman" w:eastAsia="方正仿宋_GBK" w:cs="Times New Roman"/>
                <w:snapToGrid w:val="0"/>
                <w:color w:val="auto"/>
                <w:kern w:val="0"/>
                <w:szCs w:val="21"/>
                <w:lang w:val="en-US" w:eastAsia="zh-CN" w:bidi="ar"/>
              </w:rPr>
              <w:t>推进“散乱污”企业综合整治，落实企业错峰生产要求</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D0AD">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宿城区工业和</w:t>
            </w:r>
          </w:p>
          <w:p w14:paraId="6C0E3EC6">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信息化局</w:t>
            </w:r>
          </w:p>
          <w:p w14:paraId="79FBBFE3">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宿城生态环境局</w:t>
            </w:r>
          </w:p>
          <w:p w14:paraId="3E3175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宿城区城市管理局</w:t>
            </w:r>
          </w:p>
          <w:p w14:paraId="41BC48E7">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宿城区市场监督管理局等</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DF4E">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1.宿城区工业和信息化局负责统筹推进“散乱污”企业综合整治工作，清理企业违法违规产能，组织、指导乡镇（街道）排查不符合产业政策的企业，落实企业错峰生产。</w:t>
            </w:r>
          </w:p>
          <w:p w14:paraId="352C5E8F">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2.宿城生态环境局负责对造成环境污染、噪声污染、大气污染，设置入河排污口等行为的企业进行查处。</w:t>
            </w:r>
          </w:p>
          <w:p w14:paraId="4CDCBF56">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3.宿城区市场监督管理局负责组织开展打击无证无照、证照不全的“散乱污”企业，加强对“散乱污”生产企业产品质量监管，查处产品质量违法行为。</w:t>
            </w:r>
          </w:p>
          <w:p w14:paraId="69ACE247">
            <w:pPr>
              <w:keepNext w:val="0"/>
              <w:keepLines w:val="0"/>
              <w:pageBreakBefore w:val="0"/>
              <w:widowControl/>
              <w:kinsoku/>
              <w:wordWrap/>
              <w:overflowPunct/>
              <w:topLinePunct w:val="0"/>
              <w:autoSpaceDE w:val="0"/>
              <w:autoSpaceDN w:val="0"/>
              <w:bidi w:val="0"/>
              <w:adjustRightInd w:val="0"/>
              <w:snapToGrid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4.宿城区城市管理局负责开展 “散乱污”企业涉及的违法违章建（构）筑物的拆除工作以及违章占道生产经营活动的综合整治工作。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FE2AF">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1.协助开展辖区内“散乱污”企业排查工作。</w:t>
            </w:r>
          </w:p>
          <w:p w14:paraId="1CD7362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2.对于违法违规行为，督促企业自行整改，对拒不整改或整改不到位的，采取临时性先期处置措施，并上报有关部门。</w:t>
            </w:r>
          </w:p>
          <w:p w14:paraId="2DB7772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3.配合相关部门拆除违法建筑。</w:t>
            </w:r>
          </w:p>
        </w:tc>
      </w:tr>
      <w:tr w14:paraId="517AF025">
        <w:tblPrEx>
          <w:tblCellMar>
            <w:top w:w="0" w:type="dxa"/>
            <w:left w:w="108" w:type="dxa"/>
            <w:bottom w:w="0" w:type="dxa"/>
            <w:right w:w="108" w:type="dxa"/>
          </w:tblCellMar>
        </w:tblPrEx>
        <w:trPr>
          <w:cantSplit/>
          <w:trHeight w:val="302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8FDA8">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5D123">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lang w:eastAsia="zh-CN" w:bidi="ar"/>
              </w:rPr>
            </w:pPr>
            <w:r>
              <w:rPr>
                <w:rFonts w:hint="default" w:ascii="Times New Roman" w:hAnsi="Times New Roman" w:eastAsia="方正仿宋_GBK" w:cs="Times New Roman"/>
                <w:snapToGrid w:val="0"/>
                <w:color w:val="auto"/>
                <w:kern w:val="0"/>
                <w:szCs w:val="21"/>
                <w:lang w:val="en-US" w:eastAsia="zh-CN" w:bidi="ar"/>
              </w:rPr>
              <w:t>生态空间巡查管控和受损生态系统修复赔偿工作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A6FF">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宿城生态环境局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6D5A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1.建立和完善综合监测监管网络体系，建立监督执法制度，构建常态化执法机制，定期开展执法督查，对疑似破坏生态空间管控区域问题进行现场核查，对存在非法占用生态空间管控区的督促整改。</w:t>
            </w:r>
          </w:p>
          <w:p w14:paraId="0160E683">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2.加强生态保护地巡查，发现非法占用自然保护地的立即制止。</w:t>
            </w:r>
          </w:p>
          <w:p w14:paraId="3DBBD94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3.通知被环保处罚企业开展生态环境损害赔偿，指导帮助企业按流程开展赔偿修复工作。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4C306">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1.对本地区生态空间管控区域开展日常巡查，发现问题线索及时上报。</w:t>
            </w:r>
          </w:p>
          <w:p w14:paraId="371684E1">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2.开展生态环境损害赔偿政策宣传，配合做好辖区内受损生态系统修复、损害赔偿工作。</w:t>
            </w:r>
          </w:p>
        </w:tc>
      </w:tr>
      <w:tr w14:paraId="039BE309">
        <w:tblPrEx>
          <w:tblCellMar>
            <w:top w:w="0" w:type="dxa"/>
            <w:left w:w="108" w:type="dxa"/>
            <w:bottom w:w="0" w:type="dxa"/>
            <w:right w:w="108" w:type="dxa"/>
          </w:tblCellMar>
        </w:tblPrEx>
        <w:trPr>
          <w:cantSplit/>
          <w:trHeight w:val="141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E93A7">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29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8AE90">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lang w:eastAsia="zh-CN" w:bidi="ar"/>
              </w:rPr>
            </w:pPr>
            <w:r>
              <w:rPr>
                <w:rFonts w:hint="default" w:ascii="Times New Roman" w:hAnsi="Times New Roman" w:eastAsia="方正仿宋_GBK" w:cs="Times New Roman"/>
                <w:snapToGrid w:val="0"/>
                <w:color w:val="auto"/>
                <w:kern w:val="0"/>
                <w:szCs w:val="21"/>
                <w:lang w:val="en-US" w:eastAsia="zh-CN" w:bidi="ar"/>
              </w:rPr>
              <w:t>开展噪音污染排查治理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FAE5">
            <w:pPr>
              <w:keepNext w:val="0"/>
              <w:keepLines w:val="0"/>
              <w:pageBreakBefore w:val="0"/>
              <w:widowControl/>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宿城生态环境局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6E85">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1.负责将噪声污染纳入国土空间规划和相关规划环境影响评价，建立常态化工作指导机制，防止、减轻噪声污染。</w:t>
            </w:r>
          </w:p>
          <w:p w14:paraId="591C5117">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2.设置声环境质量监测站（点），开展声环境质量监测，定期向社会公布声环境质量状况信息。</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AA7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1.开展噪声污染防治法律法规和知识的宣传，引导群众参与噪声污染防治工作。</w:t>
            </w:r>
          </w:p>
          <w:p w14:paraId="2366C18B">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2.开展辖区内噪音污染源排查工作，协助做好噪音程度减轻、源头消除工作。</w:t>
            </w:r>
          </w:p>
        </w:tc>
      </w:tr>
      <w:tr w14:paraId="5312A7B1">
        <w:tblPrEx>
          <w:tblCellMar>
            <w:top w:w="0" w:type="dxa"/>
            <w:left w:w="108" w:type="dxa"/>
            <w:bottom w:w="0" w:type="dxa"/>
            <w:right w:w="108" w:type="dxa"/>
          </w:tblCellMar>
        </w:tblPrEx>
        <w:trPr>
          <w:cantSplit/>
          <w:trHeight w:val="658"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960A08">
            <w:pPr>
              <w:keepNext w:val="0"/>
              <w:keepLines w:val="0"/>
              <w:pageBreakBefore w:val="0"/>
              <w:widowControl/>
              <w:kinsoku/>
              <w:wordWrap/>
              <w:overflowPunct/>
              <w:topLinePunct w:val="0"/>
              <w:bidi w:val="0"/>
              <w:jc w:val="left"/>
              <w:textAlignment w:val="center"/>
              <w:rPr>
                <w:rFonts w:hint="default" w:ascii="Times New Roman" w:hAnsi="Times New Roman" w:eastAsia="方正黑体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五、城乡建设（5项）</w:t>
            </w:r>
          </w:p>
        </w:tc>
      </w:tr>
      <w:tr w14:paraId="3674D552">
        <w:tblPrEx>
          <w:tblCellMar>
            <w:top w:w="0" w:type="dxa"/>
            <w:left w:w="108" w:type="dxa"/>
            <w:bottom w:w="0" w:type="dxa"/>
            <w:right w:w="108" w:type="dxa"/>
          </w:tblCellMar>
        </w:tblPrEx>
        <w:trPr>
          <w:cantSplit/>
          <w:trHeight w:val="87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7DC0">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7DFC">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snapToGrid w:val="0"/>
                <w:color w:val="auto"/>
                <w:kern w:val="0"/>
                <w:szCs w:val="21"/>
                <w:highlight w:val="none"/>
                <w:lang w:val="en-US" w:eastAsia="zh-CN" w:bidi="ar"/>
              </w:rPr>
              <w:t>对城乡建设与市容管理领域违法违规行为的查处</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62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宿城区城市管理局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EA2A9">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组织开展对涉及工程规划建设、违法临时建筑、占道经营、污染路面、违规设置户外广告以及无照经营行为的专项治理工作，依法对违法违规行为进行处罚，限期责令当事人做好问题整改。</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547F">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对辖区内相关违法案件配合开展调查、送达等工作。</w:t>
            </w:r>
          </w:p>
        </w:tc>
      </w:tr>
      <w:tr w14:paraId="429BC671">
        <w:tblPrEx>
          <w:tblCellMar>
            <w:top w:w="0" w:type="dxa"/>
            <w:left w:w="108" w:type="dxa"/>
            <w:bottom w:w="0" w:type="dxa"/>
            <w:right w:w="108" w:type="dxa"/>
          </w:tblCellMar>
        </w:tblPrEx>
        <w:trPr>
          <w:cantSplit/>
          <w:trHeight w:val="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A0675">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58EFB">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环卫设施配套建设的监督管理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B0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宿城区城市管理局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F46D">
            <w:pPr>
              <w:keepNext w:val="0"/>
              <w:keepLines w:val="0"/>
              <w:pageBreakBefore w:val="0"/>
              <w:widowControl/>
              <w:kinsoku/>
              <w:wordWrap/>
              <w:overflowPunct/>
              <w:topLinePunct w:val="0"/>
              <w:autoSpaceDE w:val="0"/>
              <w:autoSpaceDN w:val="0"/>
              <w:bidi w:val="0"/>
              <w:adjustRightInd w:val="0"/>
              <w:snapToGrid w:val="0"/>
              <w:spacing w:line="24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1.建立巡查联动机制，对相关责任区域市容环卫责任人不明确的情况进行调查确认，并告知督促相关责任主体履责。</w:t>
            </w:r>
          </w:p>
          <w:p w14:paraId="7A1D3558">
            <w:pPr>
              <w:keepNext w:val="0"/>
              <w:keepLines w:val="0"/>
              <w:pageBreakBefore w:val="0"/>
              <w:widowControl/>
              <w:kinsoku/>
              <w:wordWrap/>
              <w:overflowPunct/>
              <w:topLinePunct w:val="0"/>
              <w:autoSpaceDE w:val="0"/>
              <w:autoSpaceDN w:val="0"/>
              <w:bidi w:val="0"/>
              <w:adjustRightInd w:val="0"/>
              <w:snapToGrid w:val="0"/>
              <w:spacing w:line="24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2.负责对不按照规定配建环卫设施的单位代为建设环卫设施，由相关责任单位承担建设费用。</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8506">
            <w:pPr>
              <w:keepNext w:val="0"/>
              <w:keepLines w:val="0"/>
              <w:pageBreakBefore w:val="0"/>
              <w:widowControl/>
              <w:kinsoku/>
              <w:wordWrap/>
              <w:overflowPunct/>
              <w:topLinePunct w:val="0"/>
              <w:autoSpaceDE w:val="0"/>
              <w:autoSpaceDN w:val="0"/>
              <w:bidi w:val="0"/>
              <w:adjustRightInd w:val="0"/>
              <w:snapToGrid w:val="0"/>
              <w:spacing w:line="24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对辖区内存在的不按照规定配建环卫设施的问题，配合开展调查、送达、调解等工作。</w:t>
            </w:r>
          </w:p>
        </w:tc>
      </w:tr>
      <w:tr w14:paraId="07D64200">
        <w:tblPrEx>
          <w:tblCellMar>
            <w:top w:w="0" w:type="dxa"/>
            <w:left w:w="108" w:type="dxa"/>
            <w:bottom w:w="0" w:type="dxa"/>
            <w:right w:w="108" w:type="dxa"/>
          </w:tblCellMar>
        </w:tblPrEx>
        <w:trPr>
          <w:cantSplit/>
          <w:trHeight w:val="90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9C719">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86361">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人防工程建设与使用情况监管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FF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C3A34">
            <w:pPr>
              <w:keepNext w:val="0"/>
              <w:keepLines w:val="0"/>
              <w:pageBreakBefore w:val="0"/>
              <w:widowControl/>
              <w:kinsoku/>
              <w:wordWrap/>
              <w:overflowPunct/>
              <w:topLinePunct w:val="0"/>
              <w:autoSpaceDE w:val="0"/>
              <w:autoSpaceDN w:val="0"/>
              <w:bidi w:val="0"/>
              <w:adjustRightInd w:val="0"/>
              <w:snapToGrid w:val="0"/>
              <w:spacing w:line="24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负责人防工程维护和使用的监督管理，明确相关工作管理实施标准，依法查处相关违法违规行为。</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78144">
            <w:pPr>
              <w:keepNext w:val="0"/>
              <w:keepLines w:val="0"/>
              <w:pageBreakBefore w:val="0"/>
              <w:widowControl/>
              <w:kinsoku/>
              <w:wordWrap/>
              <w:overflowPunct/>
              <w:topLinePunct w:val="0"/>
              <w:autoSpaceDE w:val="0"/>
              <w:autoSpaceDN w:val="0"/>
              <w:bidi w:val="0"/>
              <w:adjustRightInd w:val="0"/>
              <w:snapToGrid w:val="0"/>
              <w:spacing w:line="22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1.对人防工程开展日常巡查，针对违法违规行为及时上报。</w:t>
            </w:r>
          </w:p>
          <w:p w14:paraId="4FB8FF3F">
            <w:pPr>
              <w:keepNext w:val="0"/>
              <w:keepLines w:val="0"/>
              <w:pageBreakBefore w:val="0"/>
              <w:widowControl/>
              <w:kinsoku/>
              <w:wordWrap/>
              <w:overflowPunct/>
              <w:topLinePunct w:val="0"/>
              <w:autoSpaceDE w:val="0"/>
              <w:autoSpaceDN w:val="0"/>
              <w:bidi w:val="0"/>
              <w:adjustRightInd w:val="0"/>
              <w:snapToGrid w:val="0"/>
              <w:spacing w:line="22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2.参与调解辖区内住宅区人防工程平时使用和维护管理中出现的矛盾纠纷。</w:t>
            </w:r>
          </w:p>
        </w:tc>
      </w:tr>
      <w:tr w14:paraId="0FFCB6DF">
        <w:tblPrEx>
          <w:tblCellMar>
            <w:top w:w="0" w:type="dxa"/>
            <w:left w:w="108" w:type="dxa"/>
            <w:bottom w:w="0" w:type="dxa"/>
            <w:right w:w="108" w:type="dxa"/>
          </w:tblCellMar>
        </w:tblPrEx>
        <w:trPr>
          <w:cantSplit/>
          <w:trHeight w:val="799"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B73E8">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1CAC">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城镇排水和污水处理情况监管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2DA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8D99">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负责城镇排水与污水处理的监督管理工作，明确相关工作管理标准，共享相关数据。</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19CE">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1.配合宣传雨污水排放政策。</w:t>
            </w:r>
          </w:p>
          <w:p w14:paraId="4A2D3EC2">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2.开展雨污水排放日常巡查，对雨污水排放违法违规事件进行先期处置并及时上报。</w:t>
            </w:r>
          </w:p>
        </w:tc>
      </w:tr>
      <w:tr w14:paraId="3DDA2E1A">
        <w:tblPrEx>
          <w:tblCellMar>
            <w:top w:w="0" w:type="dxa"/>
            <w:left w:w="108" w:type="dxa"/>
            <w:bottom w:w="0" w:type="dxa"/>
            <w:right w:w="108" w:type="dxa"/>
          </w:tblCellMar>
        </w:tblPrEx>
        <w:trPr>
          <w:cantSplit/>
          <w:trHeight w:val="39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D37BE">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A3D92">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推广应用新型墙体材料、散装水泥</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28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C0FD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负责对新型墙体材料、散装水泥的发展与监督管理，共享相关数据，明确相关工作管理标准。</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6D13">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1.宣传、推广应用新型墙体材料和散装水泥。</w:t>
            </w:r>
          </w:p>
          <w:p w14:paraId="05010F08">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2.引导和支持辖区居民使用新型墙体材料。</w:t>
            </w:r>
          </w:p>
        </w:tc>
      </w:tr>
      <w:tr w14:paraId="2A857B8F">
        <w:tblPrEx>
          <w:tblCellMar>
            <w:top w:w="0" w:type="dxa"/>
            <w:left w:w="108" w:type="dxa"/>
            <w:bottom w:w="0" w:type="dxa"/>
            <w:right w:w="108" w:type="dxa"/>
          </w:tblCellMar>
        </w:tblPrEx>
        <w:trPr>
          <w:cantSplit/>
          <w:trHeight w:val="658"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6F0F0A">
            <w:pPr>
              <w:keepNext w:val="0"/>
              <w:keepLines w:val="0"/>
              <w:pageBreakBefore w:val="0"/>
              <w:widowControl/>
              <w:kinsoku/>
              <w:wordWrap/>
              <w:overflowPunct/>
              <w:topLinePunct w:val="0"/>
              <w:bidi w:val="0"/>
              <w:jc w:val="left"/>
              <w:textAlignment w:val="center"/>
              <w:rPr>
                <w:rFonts w:hint="default" w:ascii="Times New Roman" w:hAnsi="Times New Roman" w:eastAsia="方正黑体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六、商贸流通（1项）</w:t>
            </w:r>
          </w:p>
        </w:tc>
      </w:tr>
      <w:tr w14:paraId="5B86780F">
        <w:tblPrEx>
          <w:tblCellMar>
            <w:top w:w="0" w:type="dxa"/>
            <w:left w:w="108" w:type="dxa"/>
            <w:bottom w:w="0" w:type="dxa"/>
            <w:right w:w="108" w:type="dxa"/>
          </w:tblCellMar>
        </w:tblPrEx>
        <w:trPr>
          <w:cantSplit/>
          <w:trHeight w:val="17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307C0">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8608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批零住餐企业补贴申报、入规纳统、预付卡管理和老字号申报工作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52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宿城区商务局</w:t>
            </w:r>
          </w:p>
          <w:p w14:paraId="60D2D0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宿城区市场监督管理局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CCF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1.宿城区商务局负责开展企业入规纳统、项目招引等工作，做好老字号企业保护与创新发展。</w:t>
            </w:r>
          </w:p>
          <w:p w14:paraId="30F10F4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2.宿城区商务局负责开展单用途预付卡管理工作，引导发卡企业按照要求备案，督促检查发卡企业落实“三项制度”情况。</w:t>
            </w:r>
          </w:p>
          <w:p w14:paraId="663A7D4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3.宿城区商务局会同宿城区市场监督管理局开展消费促进工作，做好行业发展政策申报工作。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10FB3">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1.做好宣传引导，协助辖区内批零住餐企业申报奖补资金。</w:t>
            </w:r>
          </w:p>
          <w:p w14:paraId="420FFC5F">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2.引导优质批零住餐企业入规纳统，招引批零住餐项目。</w:t>
            </w:r>
          </w:p>
          <w:p w14:paraId="00115BA8">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3.挖掘本地老字号资源，做好国家、省、市级老字号申请材料的受理和转报。</w:t>
            </w:r>
          </w:p>
          <w:p w14:paraId="72629DE4">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4.配合开展辖区内发卡企业摸排工作，调解预付卡消费纠纷。</w:t>
            </w:r>
          </w:p>
        </w:tc>
      </w:tr>
      <w:tr w14:paraId="2145253E">
        <w:tblPrEx>
          <w:tblCellMar>
            <w:top w:w="0" w:type="dxa"/>
            <w:left w:w="108" w:type="dxa"/>
            <w:bottom w:w="0" w:type="dxa"/>
            <w:right w:w="108" w:type="dxa"/>
          </w:tblCellMar>
        </w:tblPrEx>
        <w:trPr>
          <w:cantSplit/>
          <w:trHeight w:val="712"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3A1D0C">
            <w:pPr>
              <w:keepNext w:val="0"/>
              <w:keepLines w:val="0"/>
              <w:pageBreakBefore w:val="0"/>
              <w:widowControl/>
              <w:kinsoku/>
              <w:wordWrap/>
              <w:overflowPunct/>
              <w:topLinePunct w:val="0"/>
              <w:bidi w:val="0"/>
              <w:jc w:val="left"/>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七、应急管理及消防（5项）</w:t>
            </w:r>
          </w:p>
        </w:tc>
      </w:tr>
      <w:tr w14:paraId="48E10B11">
        <w:tblPrEx>
          <w:tblCellMar>
            <w:top w:w="0" w:type="dxa"/>
            <w:left w:w="108" w:type="dxa"/>
            <w:bottom w:w="0" w:type="dxa"/>
            <w:right w:w="108" w:type="dxa"/>
          </w:tblCellMar>
        </w:tblPrEx>
        <w:trPr>
          <w:cantSplit/>
          <w:trHeight w:val="7618"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0319">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DEAF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应急管理工作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88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w:t>
            </w: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城区应急管理局</w:t>
            </w:r>
          </w:p>
          <w:p w14:paraId="4B0F2E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宿城区商务局</w:t>
            </w:r>
          </w:p>
          <w:p w14:paraId="61FCBF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宿城区市场监督管理局</w:t>
            </w:r>
          </w:p>
          <w:p w14:paraId="1B5206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宿城区交通运输局</w:t>
            </w:r>
          </w:p>
          <w:p w14:paraId="5E4F21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宿城区工业和</w:t>
            </w:r>
          </w:p>
          <w:p w14:paraId="4274F9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信息化局</w:t>
            </w:r>
          </w:p>
          <w:p w14:paraId="1BE98A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p w14:paraId="0E724C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宿城区水利局</w:t>
            </w:r>
          </w:p>
          <w:p w14:paraId="61DDA8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宿城区城市管理局</w:t>
            </w:r>
          </w:p>
          <w:p w14:paraId="7F7BB4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宿迁市公安局</w:t>
            </w:r>
          </w:p>
          <w:p w14:paraId="6508B8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E47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1.负责安全生产综合监督管理，指导协调、监督检查区有关部门、单位和各园区（镇、街道）安全生产工作。</w:t>
            </w:r>
          </w:p>
          <w:p w14:paraId="00102B4A">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2.按照分级、属地原则，依法开展安全生产监察执法工作，依法查处违法违规行为。依法组织并指导监督实施安全生产准入制度。</w:t>
            </w:r>
          </w:p>
          <w:p w14:paraId="04841E5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3.依法组织指导生产安全事故调查处理，监督事故查处和责任追究落实情况。根据区政府授权，依法组织对生产安全事故开展调查处理。</w:t>
            </w:r>
          </w:p>
          <w:p w14:paraId="1640B8D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4.负责应急管理工作，组织编制区应急体系建设、安全生产和综合防灾减灾规划。</w:t>
            </w:r>
          </w:p>
          <w:p w14:paraId="6C77B4C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5.组织编制区总体应急预案和安全生产类、自然灾害类专项预案，综合协调应急预案衔接工作，组织开展预案演练，推动应急避难场所和设施建设。</w:t>
            </w:r>
          </w:p>
          <w:p w14:paraId="651A640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6.负责自然灾害综合监测预警工作，组织开展自然灾害类的综合风险评估、突发事件的调查评估工作。</w:t>
            </w:r>
          </w:p>
          <w:p w14:paraId="0A54144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7.统筹专业应急救援力量建设，指导综合性应急救援队伍、各级各部门及社会应急救援力量建设。组织指导协调安全生产类、自然灾害类等突发事件应急救援。</w:t>
            </w:r>
          </w:p>
          <w:p w14:paraId="2328063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8.建立防汛抗旱组织指挥体系，开展隐患排查和整治、洪涝灾害应急处置，保障防汛经费物资，完善城区雨污排水设施、指导防御内涝、加强桥洞涵道巡查，开展建筑工地防御预警发布、自建房屋隐患整治监测、督促检查物业小区防涝。</w:t>
            </w:r>
          </w:p>
          <w:p w14:paraId="4D0ACEE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9.制定应急物资储备和应急救援装备规划并组织实施。</w:t>
            </w:r>
          </w:p>
          <w:p w14:paraId="6F7E7D45">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10.成品油批发、仓储和零售经营市场的监管执法。</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7CC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1.根据国家、省、市、区部署要求，开展应急管理知识宣传普及、专项排查工作。</w:t>
            </w:r>
            <w:r>
              <w:rPr>
                <w:rFonts w:hint="default" w:ascii="Times New Roman" w:hAnsi="Times New Roman" w:eastAsia="方正仿宋_GBK" w:cs="Times New Roman"/>
                <w:i w:val="0"/>
                <w:iCs w:val="0"/>
                <w:color w:val="auto"/>
                <w:kern w:val="0"/>
                <w:sz w:val="21"/>
                <w:szCs w:val="21"/>
                <w:highlight w:val="none"/>
                <w:u w:val="none"/>
                <w:lang w:val="en-US" w:eastAsia="zh-CN" w:bidi="ar"/>
              </w:rPr>
              <w:br w:type="textWrapping"/>
            </w:r>
            <w:r>
              <w:rPr>
                <w:rFonts w:hint="default" w:ascii="Times New Roman" w:hAnsi="Times New Roman" w:eastAsia="方正仿宋_GBK" w:cs="Times New Roman"/>
                <w:i w:val="0"/>
                <w:iCs w:val="0"/>
                <w:color w:val="auto"/>
                <w:kern w:val="0"/>
                <w:sz w:val="21"/>
                <w:szCs w:val="21"/>
                <w:highlight w:val="none"/>
                <w:u w:val="none"/>
                <w:lang w:val="en-US" w:eastAsia="zh-CN" w:bidi="ar"/>
              </w:rPr>
              <w:t>2.配合开展巡查巡护，发现违法违规行为及时上报。</w:t>
            </w:r>
            <w:r>
              <w:rPr>
                <w:rFonts w:hint="default" w:ascii="Times New Roman" w:hAnsi="Times New Roman" w:eastAsia="方正仿宋_GBK" w:cs="Times New Roman"/>
                <w:i w:val="0"/>
                <w:iCs w:val="0"/>
                <w:color w:val="auto"/>
                <w:kern w:val="0"/>
                <w:sz w:val="21"/>
                <w:szCs w:val="21"/>
                <w:highlight w:val="none"/>
                <w:u w:val="none"/>
                <w:lang w:val="en-US" w:eastAsia="zh-CN" w:bidi="ar"/>
              </w:rPr>
              <w:br w:type="textWrapping"/>
            </w:r>
            <w:r>
              <w:rPr>
                <w:rFonts w:hint="default" w:ascii="Times New Roman" w:hAnsi="Times New Roman" w:eastAsia="方正仿宋_GBK" w:cs="Times New Roman"/>
                <w:i w:val="0"/>
                <w:iCs w:val="0"/>
                <w:color w:val="auto"/>
                <w:kern w:val="0"/>
                <w:sz w:val="21"/>
                <w:szCs w:val="21"/>
                <w:highlight w:val="none"/>
                <w:u w:val="none"/>
                <w:lang w:val="en-US" w:eastAsia="zh-CN" w:bidi="ar"/>
              </w:rPr>
              <w:t>3.编制镇级突发事件应急预案并组织演练。</w:t>
            </w:r>
          </w:p>
          <w:p w14:paraId="4EC1D6A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4.发生事故灾难、自然灾害等突发事件后第一时间上报，按照突发事件应急预案组织开展群众疏散、初期救援等先期处置工作。</w:t>
            </w:r>
          </w:p>
          <w:p w14:paraId="5CD71AA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5.协助做好群众安置、灾情统计、灾后恢复等相关工作。</w:t>
            </w:r>
          </w:p>
          <w:p w14:paraId="31A86F6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p>
          <w:p w14:paraId="0526132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p>
        </w:tc>
      </w:tr>
      <w:tr w14:paraId="14D850ED">
        <w:tblPrEx>
          <w:tblCellMar>
            <w:top w:w="0" w:type="dxa"/>
            <w:left w:w="108" w:type="dxa"/>
            <w:bottom w:w="0" w:type="dxa"/>
            <w:right w:w="108" w:type="dxa"/>
          </w:tblCellMar>
        </w:tblPrEx>
        <w:trPr>
          <w:cantSplit/>
          <w:trHeight w:val="512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D2295">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F063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消防安全工作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C3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宿城区消防救援大队</w:t>
            </w:r>
          </w:p>
          <w:p w14:paraId="5A2E45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p w14:paraId="6EBF3D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宿迁市公安局</w:t>
            </w:r>
          </w:p>
          <w:p w14:paraId="3ACE1A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宿城分局</w:t>
            </w:r>
          </w:p>
          <w:p w14:paraId="737D70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42799">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宿城区消防救援大队承担城乡综合性消防救援工作，负责相关灾害事故救援行动的现场指挥调度；承担火灾预防、消防监督执法、火灾事故调查处理和消防安全宣传教育工作，承担属地消防监督管理职责；负责所属国家综合性消防救援队伍建设、管理和指挥调度；统筹负责政府专职消防队伍的建设管理、定岗定责、共训共练、调度指挥。</w:t>
            </w:r>
          </w:p>
          <w:p w14:paraId="6F625C10">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2.宿城区住房和城乡建设局负责对特殊建设工程开展消防设计审查；对应当申请消防验收的建设工程开展竣工验收，对其他建设工程验收情况实施备案并开展抽查。</w:t>
            </w:r>
          </w:p>
          <w:p w14:paraId="5CF5D1A9">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3.宿迁市公安局宿城分局负责查处职责范围内涉及消防安全的违法犯罪行为，组织指导公安派出所开展日常消防监督检查和消防宣传教育活动，协助维护火灾现场秩序，保护现场，参与火灾事故调查处理。</w:t>
            </w:r>
          </w:p>
          <w:p w14:paraId="73C1A554">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4.各有关部门根据本系统特点，有针对性开展消防安全检查，及时督促整改火灾隐患。</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78DC">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1.根据国家、省、市、区部署要求，制定年度消防宣传工作计划，开展消防知识宣传普及、专项排查、应急疏散演练工作。</w:t>
            </w:r>
          </w:p>
          <w:p w14:paraId="24140D06">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2.配合开展巡查巡护，发现违法违规行为及时上报；协助督促辖区范围内的各类场所落实消防安全主体责任。</w:t>
            </w:r>
          </w:p>
          <w:p w14:paraId="39F4185E">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3.协助灭火救援和火灾事故调查工作；发生突发事件后，第一时间上报，并组织开展群众疏散、初期救援等先期处置工作。</w:t>
            </w:r>
          </w:p>
        </w:tc>
      </w:tr>
      <w:tr w14:paraId="61E60A30">
        <w:tblPrEx>
          <w:tblCellMar>
            <w:top w:w="0" w:type="dxa"/>
            <w:left w:w="108" w:type="dxa"/>
            <w:bottom w:w="0" w:type="dxa"/>
            <w:right w:w="108" w:type="dxa"/>
          </w:tblCellMar>
        </w:tblPrEx>
        <w:trPr>
          <w:cantSplit/>
          <w:trHeight w:val="124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1F7A">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03D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危化品生产经营单位监督管理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90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宿城区应急管理局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055A">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负责对危化品生产、运输、使用、储存、经营、废弃处置等行为进行监管，督促做好危化品登记相关工作，对违法行为进行查处。</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9E6D">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1.做好辖区范围内危化品安全管理宣传工作。</w:t>
            </w:r>
          </w:p>
          <w:p w14:paraId="13174771">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2.对危化品安全行为进行日常巡查，发现问题线索及时上报。</w:t>
            </w:r>
          </w:p>
          <w:p w14:paraId="1E1A0386">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3.协助部门开展行政执法，维护执法现场秩序等工作。</w:t>
            </w:r>
          </w:p>
        </w:tc>
      </w:tr>
      <w:tr w14:paraId="7D35DB98">
        <w:tblPrEx>
          <w:tblCellMar>
            <w:top w:w="0" w:type="dxa"/>
            <w:left w:w="108" w:type="dxa"/>
            <w:bottom w:w="0" w:type="dxa"/>
            <w:right w:w="108" w:type="dxa"/>
          </w:tblCellMar>
        </w:tblPrEx>
        <w:trPr>
          <w:cantSplit/>
          <w:trHeight w:val="1891"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A59EE">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39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50CE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燃气管理工作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10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5202">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1.明确职责分工，建立联席会议制度和协同监督管理机制。</w:t>
            </w:r>
          </w:p>
          <w:p w14:paraId="1A2485E4">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w:t>
            </w:r>
            <w:r>
              <w:rPr>
                <w:rFonts w:hint="default" w:ascii="Times New Roman" w:hAnsi="Times New Roman" w:eastAsia="方正仿宋_GBK" w:cs="Times New Roman"/>
                <w:i w:val="0"/>
                <w:iCs w:val="0"/>
                <w:color w:val="auto"/>
                <w:kern w:val="0"/>
                <w:sz w:val="21"/>
                <w:szCs w:val="21"/>
                <w:highlight w:val="none"/>
                <w:u w:val="none"/>
                <w:lang w:val="en-US" w:eastAsia="zh-CN" w:bidi="ar"/>
              </w:rPr>
              <w:t>建立隐患排查整治机制，定期组织对燃气设施建设以及燃气储存、充装、运输、经营、使用等环节的安全责任落实和隐患排查整改情况开展安全监督检查，对燃气违法行为实施行政处罚，及时消除隐患。</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8F1D9">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1.协助上级部门检查燃气生产经营单位的安全生产状况，及时制止违法经营和占压、损毁燃气设施的行为，对劝阻无效的及时上报。</w:t>
            </w:r>
          </w:p>
          <w:p w14:paraId="08CFD367">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2.及时上报燃气安全事故，及时报告并协助上级部门处理。</w:t>
            </w:r>
          </w:p>
          <w:p w14:paraId="4ACD9604">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3.协助对用户安全用气进行监督管理。</w:t>
            </w:r>
          </w:p>
        </w:tc>
      </w:tr>
      <w:tr w14:paraId="33EA0AB8">
        <w:tblPrEx>
          <w:tblCellMar>
            <w:top w:w="0" w:type="dxa"/>
            <w:left w:w="108" w:type="dxa"/>
            <w:bottom w:w="0" w:type="dxa"/>
            <w:right w:w="108" w:type="dxa"/>
          </w:tblCellMar>
        </w:tblPrEx>
        <w:trPr>
          <w:cantSplit/>
          <w:trHeight w:val="77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7E559">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C7A7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道路交通安全工作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F33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宿城区应急管理局</w:t>
            </w:r>
          </w:p>
          <w:p w14:paraId="6DFE64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宿城区交通运输局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02FB2">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负责区级以上道路的监督管理，组织开展交通安全隐患专项治理活动。</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3D0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1.配合开展区级以上道路巡查巡护，发现安全隐患及时上报、联动处置。</w:t>
            </w:r>
            <w:r>
              <w:rPr>
                <w:rFonts w:hint="default" w:ascii="Times New Roman" w:hAnsi="Times New Roman" w:eastAsia="方正仿宋_GBK" w:cs="Times New Roman"/>
                <w:i w:val="0"/>
                <w:iCs w:val="0"/>
                <w:color w:val="auto"/>
                <w:kern w:val="0"/>
                <w:sz w:val="21"/>
                <w:szCs w:val="21"/>
                <w:highlight w:val="none"/>
                <w:u w:val="none"/>
                <w:lang w:val="en-US" w:eastAsia="zh-CN" w:bidi="ar"/>
              </w:rPr>
              <w:br w:type="textWrapping"/>
            </w:r>
            <w:r>
              <w:rPr>
                <w:rFonts w:hint="default" w:ascii="Times New Roman" w:hAnsi="Times New Roman" w:eastAsia="方正仿宋_GBK" w:cs="Times New Roman"/>
                <w:i w:val="0"/>
                <w:iCs w:val="0"/>
                <w:color w:val="auto"/>
                <w:kern w:val="0"/>
                <w:sz w:val="21"/>
                <w:szCs w:val="21"/>
                <w:highlight w:val="none"/>
                <w:u w:val="none"/>
                <w:lang w:val="en-US" w:eastAsia="zh-CN" w:bidi="ar"/>
              </w:rPr>
              <w:t>2.做好道路管理权限范围内的交通安全隐患整治工作。</w:t>
            </w:r>
          </w:p>
        </w:tc>
      </w:tr>
      <w:tr w14:paraId="77FDF2C8">
        <w:tblPrEx>
          <w:tblCellMar>
            <w:top w:w="0" w:type="dxa"/>
            <w:left w:w="108" w:type="dxa"/>
            <w:bottom w:w="0" w:type="dxa"/>
            <w:right w:w="108" w:type="dxa"/>
          </w:tblCellMar>
        </w:tblPrEx>
        <w:trPr>
          <w:cantSplit/>
          <w:trHeight w:val="658"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437E0B">
            <w:pPr>
              <w:keepNext w:val="0"/>
              <w:keepLines w:val="0"/>
              <w:pageBreakBefore w:val="0"/>
              <w:widowControl/>
              <w:kinsoku/>
              <w:wordWrap/>
              <w:overflowPunct/>
              <w:topLinePunct w:val="0"/>
              <w:bidi w:val="0"/>
              <w:jc w:val="left"/>
              <w:textAlignment w:val="center"/>
              <w:rPr>
                <w:rFonts w:hint="default" w:ascii="Times New Roman" w:hAnsi="Times New Roman" w:eastAsia="方正黑体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八、市场监管（7项）</w:t>
            </w:r>
          </w:p>
        </w:tc>
      </w:tr>
      <w:tr w14:paraId="5307A7B2">
        <w:tblPrEx>
          <w:tblCellMar>
            <w:top w:w="0" w:type="dxa"/>
            <w:left w:w="108" w:type="dxa"/>
            <w:bottom w:w="0" w:type="dxa"/>
            <w:right w:w="108" w:type="dxa"/>
          </w:tblCellMar>
        </w:tblPrEx>
        <w:trPr>
          <w:cantSplit/>
          <w:trHeight w:val="86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47C7">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2F5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推进税费协同共治，开展税费征管服务保障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6F4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宿城区税务局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7CC7E">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负责印制最新税费优惠政策，管理企业税收事项，将小额欠税企业相关信息反馈给镇（街道）。</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D88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1.配合开展税收政策宣传。</w:t>
            </w:r>
          </w:p>
          <w:p w14:paraId="33334DE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2.配合做好外迁企业跟踪管理，协助追缴小额欠税企业税款。</w:t>
            </w:r>
          </w:p>
        </w:tc>
      </w:tr>
      <w:tr w14:paraId="71D59CFA">
        <w:tblPrEx>
          <w:tblCellMar>
            <w:top w:w="0" w:type="dxa"/>
            <w:left w:w="108" w:type="dxa"/>
            <w:bottom w:w="0" w:type="dxa"/>
            <w:right w:w="108" w:type="dxa"/>
          </w:tblCellMar>
        </w:tblPrEx>
        <w:trPr>
          <w:cantSplit/>
          <w:trHeight w:val="1711"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FEF53">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7C26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由省级党委和政府统一部署的、经区委区政府同意的各类信息数据上报工作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3C4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宿城区统计局</w:t>
            </w:r>
          </w:p>
          <w:p w14:paraId="6806EF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宿城区住房和城乡建设局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D363A">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w:t>
            </w:r>
            <w:r>
              <w:rPr>
                <w:rFonts w:hint="default" w:ascii="Times New Roman" w:hAnsi="Times New Roman" w:eastAsia="方正仿宋_GBK" w:cs="Times New Roman"/>
                <w:i w:val="0"/>
                <w:iCs w:val="0"/>
                <w:color w:val="auto"/>
                <w:kern w:val="0"/>
                <w:sz w:val="21"/>
                <w:szCs w:val="21"/>
                <w:highlight w:val="none"/>
                <w:u w:val="none"/>
                <w:lang w:val="en-US" w:eastAsia="zh-CN" w:bidi="ar"/>
              </w:rPr>
              <w:t>宿城区统计局负责组织、指导和协调统计工作，明确信息数据报送要求，下达信息数据报送任务，收集、汇总、整理有关信息数据，向区委区政府及有关部门提供统计信息和咨询建议。</w:t>
            </w:r>
          </w:p>
          <w:p w14:paraId="0FC0D02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w:t>
            </w:r>
            <w:r>
              <w:rPr>
                <w:rFonts w:hint="default" w:ascii="Times New Roman" w:hAnsi="Times New Roman" w:eastAsia="方正仿宋_GBK" w:cs="Times New Roman"/>
                <w:i w:val="0"/>
                <w:iCs w:val="0"/>
                <w:color w:val="auto"/>
                <w:kern w:val="0"/>
                <w:sz w:val="21"/>
                <w:szCs w:val="21"/>
                <w:highlight w:val="none"/>
                <w:u w:val="none"/>
                <w:lang w:val="en-US" w:eastAsia="zh-CN" w:bidi="ar"/>
              </w:rPr>
              <w:t>宿城区住房和城乡建设局</w:t>
            </w:r>
            <w:r>
              <w:rPr>
                <w:rFonts w:hint="default" w:ascii="Times New Roman" w:hAnsi="Times New Roman" w:eastAsia="方正仿宋_GBK" w:cs="Times New Roman"/>
                <w:i w:val="0"/>
                <w:iCs w:val="0"/>
                <w:color w:val="auto"/>
                <w:kern w:val="0"/>
                <w:sz w:val="21"/>
                <w:szCs w:val="21"/>
                <w:highlight w:val="none"/>
                <w:u w:val="none"/>
                <w:lang w:val="en-US" w:eastAsia="zh-CN" w:bidi="ar"/>
              </w:rPr>
              <w:t>负责指导镇（街道）提供城乡建设有关原始记录和凭证、统计台账、统计调查表、会计资料以及其他相关证明和资料。</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525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1.明确信息数据报送工作任务和具体责任人。</w:t>
            </w:r>
          </w:p>
          <w:p w14:paraId="38D834C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2.收集及报送信息数据，确保所报信息数据的及时性、准确性、时效性。</w:t>
            </w:r>
          </w:p>
          <w:p w14:paraId="7AAD80B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w:t>
            </w:r>
            <w:r>
              <w:rPr>
                <w:rFonts w:hint="default" w:ascii="Times New Roman" w:hAnsi="Times New Roman" w:eastAsia="方正仿宋_GBK" w:cs="Times New Roman"/>
                <w:i w:val="0"/>
                <w:iCs w:val="0"/>
                <w:color w:val="auto"/>
                <w:kern w:val="0"/>
                <w:sz w:val="21"/>
                <w:szCs w:val="21"/>
                <w:highlight w:val="none"/>
                <w:u w:val="none"/>
                <w:lang w:val="en-US" w:eastAsia="zh-CN" w:bidi="ar"/>
              </w:rPr>
              <w:t>配合上级数据查询和</w:t>
            </w:r>
            <w:r>
              <w:rPr>
                <w:rFonts w:hint="default" w:ascii="Times New Roman" w:hAnsi="Times New Roman" w:eastAsia="方正仿宋_GBK" w:cs="Times New Roman"/>
                <w:i w:val="0"/>
                <w:iCs w:val="0"/>
                <w:color w:val="auto"/>
                <w:kern w:val="0"/>
                <w:sz w:val="21"/>
                <w:szCs w:val="21"/>
                <w:highlight w:val="none"/>
                <w:u w:val="none"/>
                <w:lang w:val="en-US" w:eastAsia="zh-CN" w:bidi="ar"/>
              </w:rPr>
              <w:t>执法</w:t>
            </w:r>
            <w:r>
              <w:rPr>
                <w:rFonts w:hint="default" w:ascii="Times New Roman" w:hAnsi="Times New Roman" w:eastAsia="方正仿宋_GBK" w:cs="Times New Roman"/>
                <w:i w:val="0"/>
                <w:iCs w:val="0"/>
                <w:color w:val="auto"/>
                <w:kern w:val="0"/>
                <w:sz w:val="21"/>
                <w:szCs w:val="21"/>
                <w:highlight w:val="none"/>
                <w:u w:val="none"/>
                <w:lang w:val="en-US" w:eastAsia="zh-CN" w:bidi="ar"/>
              </w:rPr>
              <w:t>检查工作</w:t>
            </w:r>
            <w:r>
              <w:rPr>
                <w:rFonts w:hint="default" w:ascii="Times New Roman" w:hAnsi="Times New Roman" w:eastAsia="方正仿宋_GBK" w:cs="Times New Roman"/>
                <w:i w:val="0"/>
                <w:iCs w:val="0"/>
                <w:color w:val="auto"/>
                <w:kern w:val="0"/>
                <w:sz w:val="21"/>
                <w:szCs w:val="21"/>
                <w:highlight w:val="none"/>
                <w:u w:val="none"/>
                <w:lang w:val="en-US" w:eastAsia="zh-CN" w:bidi="ar"/>
              </w:rPr>
              <w:t>。</w:t>
            </w:r>
          </w:p>
        </w:tc>
      </w:tr>
      <w:tr w14:paraId="0E4B5248">
        <w:tblPrEx>
          <w:tblCellMar>
            <w:top w:w="0" w:type="dxa"/>
            <w:left w:w="108" w:type="dxa"/>
            <w:bottom w:w="0" w:type="dxa"/>
            <w:right w:w="108" w:type="dxa"/>
          </w:tblCellMar>
        </w:tblPrEx>
        <w:trPr>
          <w:cantSplit/>
          <w:trHeight w:val="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C549">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B77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食品生产经营行为监管和食品安全事故应急救援</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8A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宿城区市场监督管理局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E99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1.负责食品生产经营企业的监督管理，开展日常监督检查、专项检查和随机抽查，依法查处违法违规问题。</w:t>
            </w:r>
          </w:p>
          <w:p w14:paraId="4BA5343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2.开展食品安全法律法规和知识宣传培训，加强对食品小作坊和食品摊贩生产经营活动的监督检查。</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E48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1.开展日常巡查，发现违法违规行为及时上报。</w:t>
            </w:r>
          </w:p>
          <w:p w14:paraId="2BDFE6C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2.按照划定的经营区域、时段，协助受理食品摊点备案。</w:t>
            </w:r>
          </w:p>
          <w:p w14:paraId="4FACF0C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3.辖区内发生食品安全事故，安排人员保护现场，做好事故上报和先期处置工作。</w:t>
            </w:r>
          </w:p>
        </w:tc>
      </w:tr>
      <w:tr w14:paraId="38B34066">
        <w:tblPrEx>
          <w:tblCellMar>
            <w:top w:w="0" w:type="dxa"/>
            <w:left w:w="108" w:type="dxa"/>
            <w:bottom w:w="0" w:type="dxa"/>
            <w:right w:w="108" w:type="dxa"/>
          </w:tblCellMar>
        </w:tblPrEx>
        <w:trPr>
          <w:cantSplit/>
          <w:trHeight w:val="9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FBA8">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276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文物保护工作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207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宿城区文化广电和旅游局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CE9E">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全面落实考古前置制度，做好区域内文物保护工作，加强大运河文化遗产保护，定期开展巡查，推进文物保护项目建设工程实施，做好宿城区第四次全国文物普查。</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F1E2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做好文物普查宣传工作，协助开展全国文物普查，搜集文物线索，采集文物基础信息数据。</w:t>
            </w:r>
          </w:p>
        </w:tc>
      </w:tr>
      <w:tr w14:paraId="77B0C244">
        <w:tblPrEx>
          <w:tblCellMar>
            <w:top w:w="0" w:type="dxa"/>
            <w:left w:w="108" w:type="dxa"/>
            <w:bottom w:w="0" w:type="dxa"/>
            <w:right w:w="108" w:type="dxa"/>
          </w:tblCellMar>
        </w:tblPrEx>
        <w:trPr>
          <w:cantSplit/>
          <w:trHeight w:val="1887"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173CB">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4FE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校外培训机构、托管机构监督管理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6CE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宿城区教育局</w:t>
            </w:r>
          </w:p>
          <w:p w14:paraId="69DC81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（体育局）</w:t>
            </w:r>
          </w:p>
          <w:p w14:paraId="3D4346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宿城区科技局</w:t>
            </w:r>
          </w:p>
          <w:p w14:paraId="439DDD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宿城区文化广电和旅游局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EAB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1.宿城区教育局牵头做好校外培训机构规范发展工作，负责学科类校外培训机构日常监管、行政执法、风险防范处置等工作。</w:t>
            </w:r>
          </w:p>
          <w:p w14:paraId="34CDBAE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宿城区科技局、文化广电和旅游局、体育局分别负责科技类、文化艺术类、体育类等非学科类校外培训机构的准入审批、日常监管、风险防范处置等工作，参与对非学科类校外培训机构的综合执法、联合执法、协作执法。</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B8D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1.开展所在区域校外培训、托管市场的日常巡查，协同开展校外培训的联合执法。</w:t>
            </w:r>
          </w:p>
          <w:p w14:paraId="0431C15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w:t>
            </w:r>
            <w:r>
              <w:rPr>
                <w:rFonts w:hint="default" w:ascii="Times New Roman" w:hAnsi="Times New Roman" w:eastAsia="方正仿宋_GBK" w:cs="Times New Roman"/>
                <w:i w:val="0"/>
                <w:iCs w:val="0"/>
                <w:color w:val="auto"/>
                <w:kern w:val="0"/>
                <w:sz w:val="21"/>
                <w:szCs w:val="21"/>
                <w:highlight w:val="none"/>
                <w:u w:val="none"/>
                <w:lang w:val="en-US" w:eastAsia="zh-CN" w:bidi="ar"/>
              </w:rPr>
              <w:t>按照职责对</w:t>
            </w:r>
            <w:r>
              <w:rPr>
                <w:rFonts w:hint="default" w:ascii="Times New Roman" w:hAnsi="Times New Roman" w:eastAsia="方正仿宋_GBK" w:cs="Times New Roman"/>
                <w:i w:val="0"/>
                <w:iCs w:val="0"/>
                <w:color w:val="auto"/>
                <w:kern w:val="0"/>
                <w:sz w:val="21"/>
                <w:szCs w:val="21"/>
                <w:highlight w:val="none"/>
                <w:u w:val="none"/>
                <w:lang w:val="en-US" w:eastAsia="zh-CN" w:bidi="ar"/>
              </w:rPr>
              <w:t>辖区</w:t>
            </w:r>
            <w:r>
              <w:rPr>
                <w:rFonts w:hint="default" w:ascii="Times New Roman" w:hAnsi="Times New Roman" w:eastAsia="方正仿宋_GBK" w:cs="Times New Roman"/>
                <w:i w:val="0"/>
                <w:iCs w:val="0"/>
                <w:color w:val="auto"/>
                <w:kern w:val="0"/>
                <w:sz w:val="21"/>
                <w:szCs w:val="21"/>
                <w:highlight w:val="none"/>
                <w:u w:val="none"/>
                <w:lang w:val="en-US" w:eastAsia="zh-CN" w:bidi="ar"/>
              </w:rPr>
              <w:t>内</w:t>
            </w:r>
            <w:r>
              <w:rPr>
                <w:rFonts w:hint="default" w:ascii="Times New Roman" w:hAnsi="Times New Roman" w:eastAsia="方正仿宋_GBK" w:cs="Times New Roman"/>
                <w:i w:val="0"/>
                <w:iCs w:val="0"/>
                <w:color w:val="auto"/>
                <w:kern w:val="0"/>
                <w:sz w:val="21"/>
                <w:szCs w:val="21"/>
                <w:highlight w:val="none"/>
                <w:u w:val="none"/>
                <w:lang w:val="en-US" w:eastAsia="zh-CN" w:bidi="ar"/>
              </w:rPr>
              <w:t>校外培训机构、托管机构</w:t>
            </w:r>
            <w:r>
              <w:rPr>
                <w:rFonts w:hint="default" w:ascii="Times New Roman" w:hAnsi="Times New Roman" w:eastAsia="方正仿宋_GBK" w:cs="Times New Roman"/>
                <w:i w:val="0"/>
                <w:iCs w:val="0"/>
                <w:color w:val="auto"/>
                <w:kern w:val="0"/>
                <w:sz w:val="21"/>
                <w:szCs w:val="21"/>
                <w:highlight w:val="none"/>
                <w:u w:val="none"/>
                <w:lang w:val="en-US" w:eastAsia="zh-CN" w:bidi="ar"/>
              </w:rPr>
              <w:t>安全生产状况进行监督检查，协助</w:t>
            </w:r>
            <w:r>
              <w:rPr>
                <w:rFonts w:hint="default" w:ascii="Times New Roman" w:hAnsi="Times New Roman" w:eastAsia="方正仿宋_GBK" w:cs="Times New Roman"/>
                <w:i w:val="0"/>
                <w:iCs w:val="0"/>
                <w:color w:val="auto"/>
                <w:kern w:val="0"/>
                <w:sz w:val="21"/>
                <w:szCs w:val="21"/>
                <w:highlight w:val="none"/>
                <w:u w:val="none"/>
                <w:lang w:val="en-US" w:eastAsia="zh-CN" w:bidi="ar"/>
              </w:rPr>
              <w:t>相关职能</w:t>
            </w:r>
            <w:r>
              <w:rPr>
                <w:rFonts w:hint="default" w:ascii="Times New Roman" w:hAnsi="Times New Roman" w:eastAsia="方正仿宋_GBK" w:cs="Times New Roman"/>
                <w:i w:val="0"/>
                <w:iCs w:val="0"/>
                <w:color w:val="auto"/>
                <w:kern w:val="0"/>
                <w:sz w:val="21"/>
                <w:szCs w:val="21"/>
                <w:highlight w:val="none"/>
                <w:u w:val="none"/>
                <w:lang w:val="en-US" w:eastAsia="zh-CN" w:bidi="ar"/>
              </w:rPr>
              <w:t>部门履行安全生产监督管理职责。</w:t>
            </w:r>
          </w:p>
        </w:tc>
      </w:tr>
      <w:tr w14:paraId="7E031C31">
        <w:tblPrEx>
          <w:tblCellMar>
            <w:top w:w="0" w:type="dxa"/>
            <w:left w:w="108" w:type="dxa"/>
            <w:bottom w:w="0" w:type="dxa"/>
            <w:right w:w="108" w:type="dxa"/>
          </w:tblCellMar>
        </w:tblPrEx>
        <w:trPr>
          <w:cantSplit/>
          <w:trHeight w:val="16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A3FBC">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109E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农贸市场经营监督管理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6AC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宿城区市场监督管理局</w:t>
            </w:r>
          </w:p>
          <w:p w14:paraId="52A2D6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宿城区商务局</w:t>
            </w:r>
          </w:p>
          <w:p w14:paraId="790E3A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宿城区城市管理局</w:t>
            </w:r>
          </w:p>
          <w:p w14:paraId="0FC220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spacing w:val="-6"/>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宿城区农业农村局</w:t>
            </w:r>
          </w:p>
          <w:p w14:paraId="6C1197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宿城区卫生健康局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D2E1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1.宿城区市场监督管理局负责对市场内经营者依法予以登记注册，监督经营者持证亮照经营，加强食品安全管理，规范市场内计量器具使用管理，受理消费者投诉纠纷。</w:t>
            </w:r>
          </w:p>
          <w:p w14:paraId="56166C2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2.其他部门在职责分工内做好农贸市场建设、市容、环境、卫生、防疫、质量安全等方面工作。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C59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1.配合开展辖区内农贸市场经营者日常经营行为疏导工作，指导市场开办者落实经营管理责任。</w:t>
            </w:r>
          </w:p>
          <w:p w14:paraId="7037C48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2.发现违法违规经营行为，及时上报。</w:t>
            </w:r>
          </w:p>
        </w:tc>
      </w:tr>
      <w:tr w14:paraId="48CCCD5F">
        <w:tblPrEx>
          <w:tblCellMar>
            <w:top w:w="0" w:type="dxa"/>
            <w:left w:w="108" w:type="dxa"/>
            <w:bottom w:w="0" w:type="dxa"/>
            <w:right w:w="108" w:type="dxa"/>
          </w:tblCellMar>
        </w:tblPrEx>
        <w:trPr>
          <w:cantSplit/>
          <w:trHeight w:val="208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7A2A2">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E0C9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推进质量发展与产品质量监管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339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宿城区市场监督管理局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100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1.引导企业应用并推广先进质量管理方法，制定落实产品和服务质量提升、产品质量安全事故强制报告、缺陷产品召回等制度。</w:t>
            </w:r>
          </w:p>
          <w:p w14:paraId="79F084F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2.实施产品质量监督抽查、风险监控、分类监管和上级产品质量监督抽查后处理工作，开展工业产品生产许可企业监督检查。</w:t>
            </w:r>
          </w:p>
          <w:p w14:paraId="59F6975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3.协调实施纤维制品质量监督工作，负责对保障劳动安全、影响生产安全的产品进行监督管理。</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F01F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1.及时上报辖区内发生的产品质量安全事故。</w:t>
            </w:r>
          </w:p>
          <w:p w14:paraId="371EE1A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2.宣传推广先进质量管理办法。</w:t>
            </w:r>
          </w:p>
        </w:tc>
      </w:tr>
      <w:tr w14:paraId="03788B65">
        <w:tblPrEx>
          <w:tblCellMar>
            <w:top w:w="0" w:type="dxa"/>
            <w:left w:w="108" w:type="dxa"/>
            <w:bottom w:w="0" w:type="dxa"/>
            <w:right w:w="108" w:type="dxa"/>
          </w:tblCellMar>
        </w:tblPrEx>
        <w:trPr>
          <w:cantSplit/>
          <w:trHeight w:val="658" w:hRule="atLeast"/>
        </w:trPr>
        <w:tc>
          <w:tcPr>
            <w:tcW w:w="146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455930">
            <w:pPr>
              <w:keepNext w:val="0"/>
              <w:keepLines w:val="0"/>
              <w:pageBreakBefore w:val="0"/>
              <w:widowControl/>
              <w:kinsoku/>
              <w:wordWrap/>
              <w:overflowPunct/>
              <w:topLinePunct w:val="0"/>
              <w:bidi w:val="0"/>
              <w:jc w:val="left"/>
              <w:textAlignment w:val="center"/>
              <w:rPr>
                <w:rFonts w:hint="default" w:ascii="Times New Roman" w:hAnsi="Times New Roman" w:eastAsia="方正黑体_GBK" w:cs="Times New Roman"/>
                <w:i w:val="0"/>
                <w:iCs w:val="0"/>
                <w:color w:val="auto"/>
                <w:kern w:val="0"/>
                <w:sz w:val="21"/>
                <w:szCs w:val="21"/>
                <w:highlight w:val="none"/>
                <w:u w:val="none"/>
                <w:lang w:val="en-US" w:eastAsia="zh-CN" w:bidi="ar"/>
              </w:rPr>
            </w:pPr>
            <w:r>
              <w:rPr>
                <w:rStyle w:val="21"/>
                <w:rFonts w:hint="default" w:ascii="Times New Roman" w:hAnsi="Times New Roman" w:eastAsia="方正黑体_GBK" w:cs="Times New Roman"/>
                <w:color w:val="auto"/>
                <w:sz w:val="24"/>
                <w:szCs w:val="24"/>
                <w:lang w:val="en-US" w:eastAsia="zh-CN" w:bidi="ar"/>
              </w:rPr>
              <w:t>九、投资促进（5项）</w:t>
            </w:r>
          </w:p>
        </w:tc>
      </w:tr>
      <w:tr w14:paraId="0BA35557">
        <w:tblPrEx>
          <w:tblCellMar>
            <w:top w:w="0" w:type="dxa"/>
            <w:left w:w="108" w:type="dxa"/>
            <w:bottom w:w="0" w:type="dxa"/>
            <w:right w:w="108" w:type="dxa"/>
          </w:tblCellMar>
        </w:tblPrEx>
        <w:trPr>
          <w:cantSplit/>
          <w:trHeight w:val="129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22A4">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994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节约集约用地工作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62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spacing w:val="-6"/>
                <w:kern w:val="0"/>
                <w:sz w:val="21"/>
                <w:szCs w:val="21"/>
                <w:highlight w:val="none"/>
                <w:u w:val="none"/>
                <w:lang w:val="en-US" w:eastAsia="zh-CN" w:bidi="ar"/>
              </w:rPr>
              <w:t>宿迁市自然资源和规划局宿城分局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FF7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宿迁市自然资源和规划局宿城分局办理用地报批手续，做好权属争议调处工作，开展农房调查、登记发证、土地卫片监督检查，严格耕地用途管制，严肃查处违法违规用地行为。</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9C6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1.配合开展低效用地再开发工作。</w:t>
            </w:r>
          </w:p>
          <w:p w14:paraId="7CE2427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2.协助对违法用地行为开展实地核查、日常巡查，发现并上报违法违规用地行为。</w:t>
            </w:r>
          </w:p>
          <w:p w14:paraId="2972606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3.配合提供用地红线、定桩等资料，张贴征地公告，确定社保人员名单及签订征地协议。</w:t>
            </w:r>
          </w:p>
        </w:tc>
      </w:tr>
      <w:tr w14:paraId="2C1027A6">
        <w:tblPrEx>
          <w:tblCellMar>
            <w:top w:w="0" w:type="dxa"/>
            <w:left w:w="108" w:type="dxa"/>
            <w:bottom w:w="0" w:type="dxa"/>
            <w:right w:w="108" w:type="dxa"/>
          </w:tblCellMar>
        </w:tblPrEx>
        <w:trPr>
          <w:cantSplit/>
          <w:trHeight w:val="188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39B1">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49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79F5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固定资产投资项目节能工作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57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宿城区工业和</w:t>
            </w:r>
          </w:p>
          <w:p w14:paraId="2A63F3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信息化局</w:t>
            </w:r>
          </w:p>
          <w:p w14:paraId="1C8FF7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宿城区发展和</w:t>
            </w:r>
          </w:p>
          <w:p w14:paraId="14FF01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改革局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5824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1.宿城区发展和改革局负责开展固定资产投资项目节能审查工作。</w:t>
            </w:r>
          </w:p>
          <w:p w14:paraId="4B12C97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2.宿城区发展和改革局负责开展新能源发电项目建设。</w:t>
            </w:r>
          </w:p>
          <w:p w14:paraId="7CE00AA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3.宿城区工业和信息化局负责清理违法违规产能，明确淘汰落后和过剩产能标准并列出名单。</w:t>
            </w:r>
          </w:p>
          <w:p w14:paraId="263531A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4.宿城区工业和信息化局负责推进能耗强度管理、区域淘汰落后产能、化解过剩产能等工作。</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77D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1.开展节能政策宣传，推广节能材料使用。</w:t>
            </w:r>
          </w:p>
          <w:p w14:paraId="14FB1EF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2.配合开展辖区内固定资产投资项目节能巡查工作，上报违法违规问题。</w:t>
            </w:r>
          </w:p>
        </w:tc>
      </w:tr>
      <w:tr w14:paraId="6440F82B">
        <w:tblPrEx>
          <w:tblCellMar>
            <w:top w:w="0" w:type="dxa"/>
            <w:left w:w="108" w:type="dxa"/>
            <w:bottom w:w="0" w:type="dxa"/>
            <w:right w:w="108" w:type="dxa"/>
          </w:tblCellMar>
        </w:tblPrEx>
        <w:trPr>
          <w:cantSplit/>
          <w:trHeight w:val="137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ADC77">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50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2F7D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开展全区重大产业项目协调推动工作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66E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宿城区发展和</w:t>
            </w:r>
          </w:p>
          <w:p w14:paraId="21E0A5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改革局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ABE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1.编排省市区重大产业项目，加强对项目进度跟踪、报送和管理。</w:t>
            </w:r>
          </w:p>
          <w:p w14:paraId="2BDED26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2.指导省市区重大项目协调推进，监测分析建设实施情况，做好项目推进及下一年度项目编排谋划。</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40B4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1.为辖区内产业项目建设提供帮办服务，报送项目建设进展情况。</w:t>
            </w:r>
          </w:p>
          <w:p w14:paraId="34D2171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2.按照上级要求，编排集中开工项目、下一年度重大产业项目，做好观摩点位准备。</w:t>
            </w:r>
          </w:p>
        </w:tc>
      </w:tr>
      <w:tr w14:paraId="2DBA6E13">
        <w:tblPrEx>
          <w:tblCellMar>
            <w:top w:w="0" w:type="dxa"/>
            <w:left w:w="108" w:type="dxa"/>
            <w:bottom w:w="0" w:type="dxa"/>
            <w:right w:w="108" w:type="dxa"/>
          </w:tblCellMar>
        </w:tblPrEx>
        <w:trPr>
          <w:cantSplit/>
          <w:trHeight w:val="155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77E4B">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51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ECA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推进企业股改上市、股权融资、政银企融资对接、数字人民币应用和防范非法金融风险工作</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9E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宿城区人民政府办公室</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8C1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1.开展金融营商环境建设，推进企业挂牌上市，提升企业股权融资额，做好全区企业股改上市工作。</w:t>
            </w:r>
          </w:p>
          <w:p w14:paraId="32A33BE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2.推进数字人民币应用增量扩面，稳妥防范化解金融风险。</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55A5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1.协助开展银企对接活动，引导企业股改上市。</w:t>
            </w:r>
          </w:p>
          <w:p w14:paraId="60E95B0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2.配合做好辖区内上市后备企业的培育工作。</w:t>
            </w:r>
          </w:p>
          <w:p w14:paraId="30C394C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3.开展数字人民币宣传工作，提升数字人民币覆盖面。</w:t>
            </w:r>
          </w:p>
          <w:p w14:paraId="1DE1F45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4.开展防范非法金融活动政策宣传，并做好日常巡查、配合处置工作。</w:t>
            </w:r>
          </w:p>
        </w:tc>
      </w:tr>
      <w:tr w14:paraId="3D094D6F">
        <w:tblPrEx>
          <w:tblCellMar>
            <w:top w:w="0" w:type="dxa"/>
            <w:left w:w="108" w:type="dxa"/>
            <w:bottom w:w="0" w:type="dxa"/>
            <w:right w:w="108" w:type="dxa"/>
          </w:tblCellMar>
        </w:tblPrEx>
        <w:trPr>
          <w:cantSplit/>
          <w:trHeight w:val="211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33582">
            <w:pPr>
              <w:keepNext w:val="0"/>
              <w:keepLines w:val="0"/>
              <w:pageBreakBefore w:val="0"/>
              <w:widowControl/>
              <w:kinsoku/>
              <w:wordWrap/>
              <w:overflowPunct/>
              <w:topLinePunct w:val="0"/>
              <w:bidi w:val="0"/>
              <w:jc w:val="center"/>
              <w:textAlignment w:val="center"/>
              <w:rPr>
                <w:rFonts w:hint="default" w:ascii="Times New Roman" w:hAnsi="Times New Roman" w:eastAsia="方正公文黑体" w:cs="Times New Roman"/>
                <w:color w:val="auto"/>
                <w:lang w:val="en-US" w:eastAsia="zh-CN" w:bidi="ar"/>
              </w:rPr>
            </w:pPr>
            <w:r>
              <w:rPr>
                <w:rFonts w:hint="default" w:ascii="Times New Roman" w:hAnsi="Times New Roman" w:eastAsia="方正公文黑体" w:cs="Times New Roman"/>
                <w:color w:val="auto"/>
                <w:lang w:val="en-US" w:eastAsia="zh-CN" w:bidi="ar"/>
              </w:rPr>
              <w:t>52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5AC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国有企业生产运行情况监管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6B6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宿城区财政局</w:t>
            </w:r>
          </w:p>
        </w:tc>
        <w:tc>
          <w:tcPr>
            <w:tcW w:w="4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967D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1.规范国有企业负责人薪酬管理，建立国有企业工资总额决定机制，依法调控国有企业工资分配水平。</w:t>
            </w:r>
          </w:p>
          <w:p w14:paraId="2249B71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2.规范国有企业招采行为管理以及其他重大事项管理等。</w:t>
            </w:r>
          </w:p>
          <w:p w14:paraId="650105A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3.核定国有企业内设机构和人员配置，规范国有企业对外招聘员工管理。</w:t>
            </w:r>
          </w:p>
        </w:tc>
        <w:tc>
          <w:tcPr>
            <w:tcW w:w="5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57A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1.配合提供所属国有企业领导班子和员工薪资发放情况。</w:t>
            </w:r>
          </w:p>
          <w:p w14:paraId="7B7378D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2.配合提供所属全资国企的内设机构设置、人员配置和招标采购情况。</w:t>
            </w:r>
          </w:p>
          <w:p w14:paraId="7A3F3F5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auto"/>
                <w:kern w:val="0"/>
                <w:sz w:val="21"/>
                <w:szCs w:val="21"/>
                <w:highlight w:val="none"/>
                <w:u w:val="none"/>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3.梳理提供所属国有企业对外招聘员工管理使用和重大事项管理台账资料。</w:t>
            </w:r>
          </w:p>
        </w:tc>
      </w:tr>
    </w:tbl>
    <w:p w14:paraId="74ED94FE">
      <w:pPr>
        <w:pStyle w:val="3"/>
        <w:spacing w:before="0" w:after="0" w:line="240" w:lineRule="auto"/>
        <w:jc w:val="center"/>
        <w:rPr>
          <w:rFonts w:hint="default" w:ascii="Times New Roman" w:hAnsi="Times New Roman" w:eastAsia="方正小标宋_GBK" w:cs="Times New Roman"/>
          <w:color w:val="auto"/>
          <w:spacing w:val="7"/>
          <w:highlight w:val="none"/>
          <w:lang w:eastAsia="zh-CN"/>
        </w:rPr>
      </w:pPr>
      <w:r>
        <w:rPr>
          <w:rFonts w:hint="default" w:ascii="Times New Roman" w:hAnsi="Times New Roman" w:eastAsia="方正小标宋_GBK" w:cs="Times New Roman"/>
          <w:color w:val="auto"/>
          <w:spacing w:val="7"/>
          <w:lang w:eastAsia="zh-CN"/>
        </w:rPr>
        <w:br w:type="page"/>
      </w:r>
      <w:r>
        <w:rPr>
          <w:rFonts w:hint="default" w:ascii="Times New Roman" w:hAnsi="Times New Roman" w:eastAsia="方正小标宋_GBK" w:cs="Times New Roman"/>
          <w:b w:val="0"/>
          <w:bCs w:val="0"/>
          <w:color w:val="auto"/>
          <w:spacing w:val="7"/>
          <w:lang w:val="en-US" w:eastAsia="zh-CN"/>
        </w:rPr>
        <w:t>上级部门</w:t>
      </w:r>
      <w:r>
        <w:rPr>
          <w:rFonts w:hint="default" w:ascii="Times New Roman" w:hAnsi="Times New Roman" w:eastAsia="方正小标宋_GBK" w:cs="Times New Roman"/>
          <w:b w:val="0"/>
          <w:bCs w:val="0"/>
          <w:color w:val="auto"/>
          <w:spacing w:val="7"/>
          <w:lang w:val="en-US" w:eastAsia="zh-CN"/>
        </w:rPr>
        <w:t>收回</w:t>
      </w:r>
      <w:r>
        <w:rPr>
          <w:rFonts w:hint="default" w:ascii="Times New Roman" w:hAnsi="Times New Roman" w:eastAsia="方正小标宋_GBK" w:cs="Times New Roman"/>
          <w:b w:val="0"/>
          <w:bCs w:val="0"/>
          <w:color w:val="auto"/>
          <w:spacing w:val="7"/>
          <w:lang w:val="en-US" w:eastAsia="zh-CN"/>
        </w:rPr>
        <w:t>事项清单</w:t>
      </w:r>
    </w:p>
    <w:tbl>
      <w:tblPr>
        <w:tblStyle w:val="13"/>
        <w:tblW w:w="14258" w:type="dxa"/>
        <w:jc w:val="center"/>
        <w:tblLayout w:type="fixed"/>
        <w:tblCellMar>
          <w:top w:w="0" w:type="dxa"/>
          <w:left w:w="108" w:type="dxa"/>
          <w:bottom w:w="0" w:type="dxa"/>
          <w:right w:w="108" w:type="dxa"/>
        </w:tblCellMar>
      </w:tblPr>
      <w:tblGrid>
        <w:gridCol w:w="762"/>
        <w:gridCol w:w="4860"/>
        <w:gridCol w:w="8636"/>
      </w:tblGrid>
      <w:tr w14:paraId="3AD6688D">
        <w:tblPrEx>
          <w:tblCellMar>
            <w:top w:w="0" w:type="dxa"/>
            <w:left w:w="108" w:type="dxa"/>
            <w:bottom w:w="0" w:type="dxa"/>
            <w:right w:w="108" w:type="dxa"/>
          </w:tblCellMar>
        </w:tblPrEx>
        <w:trPr>
          <w:cantSplit/>
          <w:trHeight w:val="658" w:hRule="atLeast"/>
          <w:tblHeader/>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31551">
            <w:pPr>
              <w:keepNext w:val="0"/>
              <w:keepLines w:val="0"/>
              <w:pageBreakBefore w:val="0"/>
              <w:widowControl/>
              <w:kinsoku/>
              <w:wordWrap/>
              <w:overflowPunct/>
              <w:topLinePunct w:val="0"/>
              <w:autoSpaceDE w:val="0"/>
              <w:autoSpaceDN w:val="0"/>
              <w:bidi w:val="0"/>
              <w:adjustRightInd w:val="0"/>
              <w:snapToGrid w:val="0"/>
              <w:jc w:val="center"/>
              <w:textAlignment w:val="center"/>
              <w:rPr>
                <w:rStyle w:val="21"/>
                <w:rFonts w:hint="default" w:ascii="Times New Roman" w:hAnsi="Times New Roman" w:eastAsia="方正黑体_GBK" w:cs="Times New Roman"/>
                <w:color w:val="auto"/>
                <w:sz w:val="24"/>
                <w:szCs w:val="24"/>
                <w:lang w:val="en-US" w:eastAsia="zh-CN" w:bidi="ar"/>
              </w:rPr>
            </w:pPr>
            <w:r>
              <w:rPr>
                <w:rStyle w:val="21"/>
                <w:rFonts w:hint="default" w:ascii="Times New Roman" w:hAnsi="Times New Roman" w:eastAsia="方正黑体_GBK" w:cs="Times New Roman"/>
                <w:color w:val="auto"/>
                <w:sz w:val="24"/>
                <w:szCs w:val="24"/>
                <w:lang w:val="en-US" w:eastAsia="zh-CN" w:bidi="ar"/>
              </w:rPr>
              <w:t>序号</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F80F">
            <w:pPr>
              <w:keepNext w:val="0"/>
              <w:keepLines w:val="0"/>
              <w:pageBreakBefore w:val="0"/>
              <w:widowControl/>
              <w:kinsoku/>
              <w:wordWrap/>
              <w:overflowPunct/>
              <w:topLinePunct w:val="0"/>
              <w:autoSpaceDE w:val="0"/>
              <w:autoSpaceDN w:val="0"/>
              <w:bidi w:val="0"/>
              <w:adjustRightInd w:val="0"/>
              <w:snapToGrid w:val="0"/>
              <w:jc w:val="center"/>
              <w:textAlignment w:val="center"/>
              <w:rPr>
                <w:rStyle w:val="21"/>
                <w:rFonts w:hint="default" w:ascii="Times New Roman" w:hAnsi="Times New Roman" w:eastAsia="方正黑体_GBK" w:cs="Times New Roman"/>
                <w:color w:val="auto"/>
                <w:sz w:val="24"/>
                <w:szCs w:val="24"/>
                <w:lang w:val="en-US" w:eastAsia="zh-CN" w:bidi="ar"/>
              </w:rPr>
            </w:pPr>
            <w:r>
              <w:rPr>
                <w:rStyle w:val="21"/>
                <w:rFonts w:hint="default" w:ascii="Times New Roman" w:hAnsi="Times New Roman" w:eastAsia="方正黑体_GBK" w:cs="Times New Roman"/>
                <w:color w:val="auto"/>
                <w:sz w:val="24"/>
                <w:szCs w:val="24"/>
                <w:lang w:val="en-US" w:eastAsia="zh-CN" w:bidi="ar"/>
              </w:rPr>
              <w:t>事项名称</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4B320">
            <w:pPr>
              <w:keepNext w:val="0"/>
              <w:keepLines w:val="0"/>
              <w:pageBreakBefore w:val="0"/>
              <w:widowControl/>
              <w:kinsoku/>
              <w:wordWrap/>
              <w:overflowPunct/>
              <w:topLinePunct w:val="0"/>
              <w:autoSpaceDE w:val="0"/>
              <w:autoSpaceDN w:val="0"/>
              <w:bidi w:val="0"/>
              <w:adjustRightInd w:val="0"/>
              <w:snapToGrid w:val="0"/>
              <w:jc w:val="center"/>
              <w:textAlignment w:val="center"/>
              <w:rPr>
                <w:rStyle w:val="21"/>
                <w:rFonts w:hint="default" w:ascii="Times New Roman" w:hAnsi="Times New Roman" w:eastAsia="方正黑体_GBK" w:cs="Times New Roman"/>
                <w:color w:val="auto"/>
                <w:sz w:val="24"/>
                <w:szCs w:val="24"/>
                <w:lang w:val="en-US" w:eastAsia="zh-CN" w:bidi="ar"/>
              </w:rPr>
            </w:pPr>
            <w:r>
              <w:rPr>
                <w:rStyle w:val="21"/>
                <w:rFonts w:hint="default" w:ascii="Times New Roman" w:hAnsi="Times New Roman" w:eastAsia="方正黑体_GBK" w:cs="Times New Roman"/>
                <w:color w:val="auto"/>
                <w:sz w:val="24"/>
                <w:szCs w:val="24"/>
                <w:lang w:val="en-US" w:eastAsia="zh-CN" w:bidi="ar"/>
              </w:rPr>
              <w:t>承接部门及工作方式</w:t>
            </w:r>
          </w:p>
        </w:tc>
      </w:tr>
      <w:tr w14:paraId="1362693F">
        <w:tblPrEx>
          <w:tblCellMar>
            <w:top w:w="0" w:type="dxa"/>
            <w:left w:w="108" w:type="dxa"/>
            <w:bottom w:w="0" w:type="dxa"/>
            <w:right w:w="108" w:type="dxa"/>
          </w:tblCellMar>
        </w:tblPrEx>
        <w:trPr>
          <w:cantSplit/>
          <w:trHeight w:val="482"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119300">
            <w:pPr>
              <w:keepNext w:val="0"/>
              <w:keepLines w:val="0"/>
              <w:pageBreakBefore w:val="0"/>
              <w:widowControl/>
              <w:kinsoku/>
              <w:wordWrap/>
              <w:overflowPunct/>
              <w:topLinePunct w:val="0"/>
              <w:autoSpaceDE w:val="0"/>
              <w:autoSpaceDN w:val="0"/>
              <w:bidi w:val="0"/>
              <w:adjustRightInd w:val="0"/>
              <w:snapToGrid w:val="0"/>
              <w:rPr>
                <w:rStyle w:val="21"/>
                <w:rFonts w:hint="default" w:ascii="Times New Roman" w:hAnsi="Times New Roman" w:eastAsia="方正黑体_GBK" w:cs="Times New Roman"/>
                <w:color w:val="auto"/>
                <w:highlight w:val="none"/>
                <w:lang w:eastAsia="zh-CN" w:bidi="ar"/>
              </w:rPr>
            </w:pPr>
            <w:r>
              <w:rPr>
                <w:rStyle w:val="21"/>
                <w:rFonts w:hint="default" w:ascii="Times New Roman" w:hAnsi="Times New Roman" w:eastAsia="方正黑体_GBK" w:cs="Times New Roman"/>
                <w:color w:val="auto"/>
                <w:highlight w:val="none"/>
                <w:lang w:eastAsia="zh-CN" w:bidi="ar"/>
              </w:rPr>
              <w:t>一、经济发展（4项）</w:t>
            </w:r>
          </w:p>
        </w:tc>
      </w:tr>
      <w:tr w14:paraId="26892661">
        <w:tblPrEx>
          <w:tblCellMar>
            <w:top w:w="0" w:type="dxa"/>
            <w:left w:w="108" w:type="dxa"/>
            <w:bottom w:w="0" w:type="dxa"/>
            <w:right w:w="108" w:type="dxa"/>
          </w:tblCellMar>
        </w:tblPrEx>
        <w:trPr>
          <w:cantSplit/>
          <w:trHeight w:val="8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DE3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8FC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银发经济发展调研，重点摸清产业发展情况</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CA7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工作方式：落实《省</w:t>
            </w:r>
            <w:bookmarkStart w:id="0" w:name="_GoBack"/>
            <w:bookmarkEnd w:id="0"/>
            <w:r>
              <w:rPr>
                <w:rFonts w:hint="default" w:ascii="Times New Roman" w:hAnsi="Times New Roman" w:eastAsia="方正仿宋_GBK" w:cs="Times New Roman"/>
                <w:snapToGrid w:val="0"/>
                <w:color w:val="auto"/>
                <w:kern w:val="0"/>
                <w:szCs w:val="21"/>
                <w:lang w:val="en-US" w:eastAsia="zh-CN" w:bidi="ar"/>
              </w:rPr>
              <w:t>政府办公厅关于印发促进银发经济高质量发展实施方案的通知》要求，加强与市发改委对接，开展工作调研，完善政策措施，牵头推进宿城区银发经济发展。</w:t>
            </w:r>
          </w:p>
        </w:tc>
      </w:tr>
      <w:tr w14:paraId="0C74223F">
        <w:tblPrEx>
          <w:tblCellMar>
            <w:top w:w="0" w:type="dxa"/>
            <w:left w:w="108" w:type="dxa"/>
            <w:bottom w:w="0" w:type="dxa"/>
            <w:right w:w="108" w:type="dxa"/>
          </w:tblCellMar>
        </w:tblPrEx>
        <w:trPr>
          <w:cantSplit/>
          <w:trHeight w:val="10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0B14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48F8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做好重大能源电力保供工作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AF2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工作方式：按照《关于做好2024年电力负荷管理工作的通知》精神，配合市供电公司做好电力需求响应，督促有关企业压降不合理用电需求，确保“迎峰度夏（冬）”期间电力供需形势稳定。</w:t>
            </w:r>
          </w:p>
        </w:tc>
      </w:tr>
      <w:tr w14:paraId="4DBBE38A">
        <w:tblPrEx>
          <w:tblCellMar>
            <w:top w:w="0" w:type="dxa"/>
            <w:left w:w="108" w:type="dxa"/>
            <w:bottom w:w="0" w:type="dxa"/>
            <w:right w:w="108" w:type="dxa"/>
          </w:tblCellMar>
        </w:tblPrEx>
        <w:trPr>
          <w:cantSplit/>
          <w:trHeight w:val="11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53B3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5C1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企业投资建设固定资产投资项目备案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13B5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承接部门：宿城区数据局（政务办）</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做好备案工作（宿城经济开发区工业项目备案除外），主动将相关信息向社会公示。</w:t>
            </w:r>
          </w:p>
        </w:tc>
      </w:tr>
      <w:tr w14:paraId="216C7605">
        <w:tblPrEx>
          <w:tblCellMar>
            <w:top w:w="0" w:type="dxa"/>
            <w:left w:w="108" w:type="dxa"/>
            <w:bottom w:w="0" w:type="dxa"/>
            <w:right w:w="108" w:type="dxa"/>
          </w:tblCellMar>
        </w:tblPrEx>
        <w:trPr>
          <w:cantSplit/>
          <w:trHeight w:val="87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C137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74E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保障宽带用户下载速率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AF0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承接部门：宿城区工业和信息化局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工作方式：会同相关单位按照《江苏省制造业智能化改造和数字化转型三年行动计划（2022-2024年）》要求做好宽带用户下载速率保障工作。</w:t>
            </w:r>
          </w:p>
        </w:tc>
      </w:tr>
      <w:tr w14:paraId="4E537B0F">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87FA68">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二、平安法治（3项）</w:t>
            </w:r>
          </w:p>
        </w:tc>
      </w:tr>
      <w:tr w14:paraId="00642E09">
        <w:tblPrEx>
          <w:tblCellMar>
            <w:top w:w="0" w:type="dxa"/>
            <w:left w:w="108" w:type="dxa"/>
            <w:bottom w:w="0" w:type="dxa"/>
            <w:right w:w="108" w:type="dxa"/>
          </w:tblCellMar>
        </w:tblPrEx>
        <w:trPr>
          <w:cantSplit/>
          <w:trHeight w:val="8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EC56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80C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深化依法治企，健全企业依法管理体系，配备国有企业总法律顾问，配备规上企业法律顾问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DE72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承接部门：宿城区司法局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工作方式：公法科负责将该项任务纳入工作计划，明确目标任务，组建工作专班，会同企业审批管理相关部门落实相关工作。</w:t>
            </w:r>
          </w:p>
        </w:tc>
      </w:tr>
      <w:tr w14:paraId="7C700B68">
        <w:tblPrEx>
          <w:tblCellMar>
            <w:top w:w="0" w:type="dxa"/>
            <w:left w:w="108" w:type="dxa"/>
            <w:bottom w:w="0" w:type="dxa"/>
            <w:right w:w="108" w:type="dxa"/>
          </w:tblCellMar>
        </w:tblPrEx>
        <w:trPr>
          <w:cantSplit/>
          <w:trHeight w:val="5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3ABA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B817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2141" name="图片_1"/>
                  <wp:cNvGraphicFramePr/>
                  <a:graphic xmlns:a="http://schemas.openxmlformats.org/drawingml/2006/main">
                    <a:graphicData uri="http://schemas.openxmlformats.org/drawingml/2006/picture">
                      <pic:pic xmlns:pic="http://schemas.openxmlformats.org/drawingml/2006/picture">
                        <pic:nvPicPr>
                          <pic:cNvPr id="2141"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2142" name="图片_1_SpCnt_1"/>
                  <wp:cNvGraphicFramePr/>
                  <a:graphic xmlns:a="http://schemas.openxmlformats.org/drawingml/2006/main">
                    <a:graphicData uri="http://schemas.openxmlformats.org/drawingml/2006/picture">
                      <pic:pic xmlns:pic="http://schemas.openxmlformats.org/drawingml/2006/picture">
                        <pic:nvPicPr>
                          <pic:cNvPr id="2142" name="图片_1_SpCnt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2143" name="图片_1_SpCnt_2"/>
                  <wp:cNvGraphicFramePr/>
                  <a:graphic xmlns:a="http://schemas.openxmlformats.org/drawingml/2006/main">
                    <a:graphicData uri="http://schemas.openxmlformats.org/drawingml/2006/picture">
                      <pic:pic xmlns:pic="http://schemas.openxmlformats.org/drawingml/2006/picture">
                        <pic:nvPicPr>
                          <pic:cNvPr id="2143" name="图片_1_SpCnt_2"/>
                          <pic:cNvPicPr/>
                        </pic:nvPicPr>
                        <pic:blipFill>
                          <a:blip r:embed="rId7"/>
                          <a:stretch>
                            <a:fillRect/>
                          </a:stretch>
                        </pic:blipFill>
                        <pic:spPr>
                          <a:xfrm>
                            <a:off x="0" y="0"/>
                            <a:ext cx="20320" cy="336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44" name="图片_30"/>
                  <wp:cNvGraphicFramePr/>
                  <a:graphic xmlns:a="http://schemas.openxmlformats.org/drawingml/2006/main">
                    <a:graphicData uri="http://schemas.openxmlformats.org/drawingml/2006/picture">
                      <pic:pic xmlns:pic="http://schemas.openxmlformats.org/drawingml/2006/picture">
                        <pic:nvPicPr>
                          <pic:cNvPr id="2144" name="图片_30"/>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145" name="图片_1_SpCnt_3"/>
                  <wp:cNvGraphicFramePr/>
                  <a:graphic xmlns:a="http://schemas.openxmlformats.org/drawingml/2006/main">
                    <a:graphicData uri="http://schemas.openxmlformats.org/drawingml/2006/picture">
                      <pic:pic xmlns:pic="http://schemas.openxmlformats.org/drawingml/2006/picture">
                        <pic:nvPicPr>
                          <pic:cNvPr id="2145"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出具法律援助经济状况证明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8E2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根据《法律援助法》相关规定，不再开展此项工作。</w:t>
            </w:r>
          </w:p>
        </w:tc>
      </w:tr>
      <w:tr w14:paraId="324B158A">
        <w:tblPrEx>
          <w:tblCellMar>
            <w:top w:w="0" w:type="dxa"/>
            <w:left w:w="108" w:type="dxa"/>
            <w:bottom w:w="0" w:type="dxa"/>
            <w:right w:w="108" w:type="dxa"/>
          </w:tblCellMar>
        </w:tblPrEx>
        <w:trPr>
          <w:cantSplit/>
          <w:trHeight w:val="9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2C3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EA9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对地震监测设施和地震观测环境的保护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809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承接部门：宿城区应急管理局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工作方式：按照年度工作计划，通过“双随机、一公开”等方式，加强监督检查，依法依规开展对地震监测设施和地震观测环境的保护。</w:t>
            </w:r>
          </w:p>
        </w:tc>
      </w:tr>
      <w:tr w14:paraId="66D3252B">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6B6880">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三、社会管理（7项）</w:t>
            </w:r>
          </w:p>
        </w:tc>
      </w:tr>
      <w:tr w14:paraId="2CF82F4E">
        <w:tblPrEx>
          <w:tblCellMar>
            <w:top w:w="0" w:type="dxa"/>
            <w:left w:w="108" w:type="dxa"/>
            <w:bottom w:w="0" w:type="dxa"/>
            <w:right w:w="108" w:type="dxa"/>
          </w:tblCellMar>
        </w:tblPrEx>
        <w:trPr>
          <w:cantSplit/>
          <w:trHeight w:val="11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9B9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1F2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建立社区健身组织等各类自治性体育组织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7869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承接部门：宿城区教育局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工作方式：由拟成立组织向区教育局提出申请，递交相关材料，审核通过后进行批复，再到民政部门进行登记成立。</w:t>
            </w:r>
          </w:p>
        </w:tc>
      </w:tr>
      <w:tr w14:paraId="54CF66EA">
        <w:tblPrEx>
          <w:tblCellMar>
            <w:top w:w="0" w:type="dxa"/>
            <w:left w:w="108" w:type="dxa"/>
            <w:bottom w:w="0" w:type="dxa"/>
            <w:right w:w="108" w:type="dxa"/>
          </w:tblCellMar>
        </w:tblPrEx>
        <w:trPr>
          <w:cantSplit/>
          <w:trHeight w:val="120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A22D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3A9F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拆除环境卫生设施许可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992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承接部门：宿城区城市管理局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772E7E72">
        <w:tblPrEx>
          <w:tblCellMar>
            <w:top w:w="0" w:type="dxa"/>
            <w:left w:w="108" w:type="dxa"/>
            <w:bottom w:w="0" w:type="dxa"/>
            <w:right w:w="108" w:type="dxa"/>
          </w:tblCellMar>
        </w:tblPrEx>
        <w:trPr>
          <w:cantSplit/>
          <w:trHeight w:val="104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829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6802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2146" name="图片_1_SpCnt_1"/>
                  <wp:cNvGraphicFramePr/>
                  <a:graphic xmlns:a="http://schemas.openxmlformats.org/drawingml/2006/main">
                    <a:graphicData uri="http://schemas.openxmlformats.org/drawingml/2006/picture">
                      <pic:pic xmlns:pic="http://schemas.openxmlformats.org/drawingml/2006/picture">
                        <pic:nvPicPr>
                          <pic:cNvPr id="2146" name="图片_1_SpCnt_1"/>
                          <pic:cNvPicPr/>
                        </pic:nvPicPr>
                        <pic:blipFill>
                          <a:blip r:embed="rId10"/>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2147" name="图片_1_SpCnt_2"/>
                  <wp:cNvGraphicFramePr/>
                  <a:graphic xmlns:a="http://schemas.openxmlformats.org/drawingml/2006/main">
                    <a:graphicData uri="http://schemas.openxmlformats.org/drawingml/2006/picture">
                      <pic:pic xmlns:pic="http://schemas.openxmlformats.org/drawingml/2006/picture">
                        <pic:nvPicPr>
                          <pic:cNvPr id="2147" name="图片_1_SpCnt_2"/>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2065"/>
                  <wp:effectExtent l="0" t="0" r="0" b="0"/>
                  <wp:wrapNone/>
                  <wp:docPr id="2148" name="图片_1_SpCnt_3"/>
                  <wp:cNvGraphicFramePr/>
                  <a:graphic xmlns:a="http://schemas.openxmlformats.org/drawingml/2006/main">
                    <a:graphicData uri="http://schemas.openxmlformats.org/drawingml/2006/picture">
                      <pic:pic xmlns:pic="http://schemas.openxmlformats.org/drawingml/2006/picture">
                        <pic:nvPicPr>
                          <pic:cNvPr id="2148" name="图片_1_SpCnt_3"/>
                          <pic:cNvPicPr/>
                        </pic:nvPicPr>
                        <pic:blipFill>
                          <a:blip r:embed="rId11"/>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149" name="图片_1_SpCnt_4"/>
                  <wp:cNvGraphicFramePr/>
                  <a:graphic xmlns:a="http://schemas.openxmlformats.org/drawingml/2006/main">
                    <a:graphicData uri="http://schemas.openxmlformats.org/drawingml/2006/picture">
                      <pic:pic xmlns:pic="http://schemas.openxmlformats.org/drawingml/2006/picture">
                        <pic:nvPicPr>
                          <pic:cNvPr id="2149" name="图片_1_SpCnt_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2150" name="图片_1_SpCnt_5"/>
                  <wp:cNvGraphicFramePr/>
                  <a:graphic xmlns:a="http://schemas.openxmlformats.org/drawingml/2006/main">
                    <a:graphicData uri="http://schemas.openxmlformats.org/drawingml/2006/picture">
                      <pic:pic xmlns:pic="http://schemas.openxmlformats.org/drawingml/2006/picture">
                        <pic:nvPicPr>
                          <pic:cNvPr id="2150" name="图片_1_SpCnt_5"/>
                          <pic:cNvPicPr/>
                        </pic:nvPicPr>
                        <pic:blipFill>
                          <a:blip r:embed="rId12"/>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2151" name="图片_1_SpCnt_6"/>
                  <wp:cNvGraphicFramePr/>
                  <a:graphic xmlns:a="http://schemas.openxmlformats.org/drawingml/2006/main">
                    <a:graphicData uri="http://schemas.openxmlformats.org/drawingml/2006/picture">
                      <pic:pic xmlns:pic="http://schemas.openxmlformats.org/drawingml/2006/picture">
                        <pic:nvPicPr>
                          <pic:cNvPr id="2151" name="图片_1_SpCnt_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52" name="图片_1_SpCnt_7"/>
                  <wp:cNvGraphicFramePr/>
                  <a:graphic xmlns:a="http://schemas.openxmlformats.org/drawingml/2006/main">
                    <a:graphicData uri="http://schemas.openxmlformats.org/drawingml/2006/picture">
                      <pic:pic xmlns:pic="http://schemas.openxmlformats.org/drawingml/2006/picture">
                        <pic:nvPicPr>
                          <pic:cNvPr id="2152" name="图片_1_SpCnt_7"/>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2153" name="图片_1_SpCnt_8"/>
                  <wp:cNvGraphicFramePr/>
                  <a:graphic xmlns:a="http://schemas.openxmlformats.org/drawingml/2006/main">
                    <a:graphicData uri="http://schemas.openxmlformats.org/drawingml/2006/picture">
                      <pic:pic xmlns:pic="http://schemas.openxmlformats.org/drawingml/2006/picture">
                        <pic:nvPicPr>
                          <pic:cNvPr id="2153" name="图片_1_SpCnt_8"/>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对违规领取80岁以上高龄津贴的追缴</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7CF0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工作方式：畅通投诉、举报渠道，加强对津贴发放的审核管理，依法依规对违规领取80岁以上高龄津贴行为进行处置。</w:t>
            </w:r>
          </w:p>
        </w:tc>
      </w:tr>
      <w:tr w14:paraId="7361D2CE">
        <w:tblPrEx>
          <w:tblCellMar>
            <w:top w:w="0" w:type="dxa"/>
            <w:left w:w="108" w:type="dxa"/>
            <w:bottom w:w="0" w:type="dxa"/>
            <w:right w:w="108" w:type="dxa"/>
          </w:tblCellMar>
        </w:tblPrEx>
        <w:trPr>
          <w:cantSplit/>
          <w:trHeight w:val="100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D4C2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BC8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适老化改造完成情况考核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F02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工作方式：不再对适老化改造完成率进行考核，组织第三方开展适老化设施改造，指导镇（街道）对已经改造完成的适老化设施做好日常管理维护。</w:t>
            </w:r>
          </w:p>
        </w:tc>
      </w:tr>
      <w:tr w14:paraId="041A74D9">
        <w:tblPrEx>
          <w:tblCellMar>
            <w:top w:w="0" w:type="dxa"/>
            <w:left w:w="108" w:type="dxa"/>
            <w:bottom w:w="0" w:type="dxa"/>
            <w:right w:w="108" w:type="dxa"/>
          </w:tblCellMar>
        </w:tblPrEx>
        <w:trPr>
          <w:cantSplit/>
          <w:trHeight w:val="130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47B9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7051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5875"/>
                  <wp:effectExtent l="0" t="0" r="0" b="0"/>
                  <wp:wrapNone/>
                  <wp:docPr id="2154" name="图片_1_SpCnt_16"/>
                  <wp:cNvGraphicFramePr/>
                  <a:graphic xmlns:a="http://schemas.openxmlformats.org/drawingml/2006/main">
                    <a:graphicData uri="http://schemas.openxmlformats.org/drawingml/2006/picture">
                      <pic:pic xmlns:pic="http://schemas.openxmlformats.org/drawingml/2006/picture">
                        <pic:nvPicPr>
                          <pic:cNvPr id="2154" name="图片_1_SpCnt_1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2065"/>
                  <wp:effectExtent l="0" t="0" r="0" b="0"/>
                  <wp:wrapNone/>
                  <wp:docPr id="2155" name="图片_1_SpCnt_17"/>
                  <wp:cNvGraphicFramePr/>
                  <a:graphic xmlns:a="http://schemas.openxmlformats.org/drawingml/2006/main">
                    <a:graphicData uri="http://schemas.openxmlformats.org/drawingml/2006/picture">
                      <pic:pic xmlns:pic="http://schemas.openxmlformats.org/drawingml/2006/picture">
                        <pic:nvPicPr>
                          <pic:cNvPr id="2155" name="图片_1_SpCnt_17"/>
                          <pic:cNvPicPr/>
                        </pic:nvPicPr>
                        <pic:blipFill>
                          <a:blip r:embed="rId11"/>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2156" name="图片_1_SpCnt_18"/>
                  <wp:cNvGraphicFramePr/>
                  <a:graphic xmlns:a="http://schemas.openxmlformats.org/drawingml/2006/main">
                    <a:graphicData uri="http://schemas.openxmlformats.org/drawingml/2006/picture">
                      <pic:pic xmlns:pic="http://schemas.openxmlformats.org/drawingml/2006/picture">
                        <pic:nvPicPr>
                          <pic:cNvPr id="2156" name="图片_1_SpCnt_18"/>
                          <pic:cNvPicPr/>
                        </pic:nvPicPr>
                        <pic:blipFill>
                          <a:blip r:embed="rId11"/>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2157" name="图片_1_SpCnt_19"/>
                  <wp:cNvGraphicFramePr/>
                  <a:graphic xmlns:a="http://schemas.openxmlformats.org/drawingml/2006/main">
                    <a:graphicData uri="http://schemas.openxmlformats.org/drawingml/2006/picture">
                      <pic:pic xmlns:pic="http://schemas.openxmlformats.org/drawingml/2006/picture">
                        <pic:nvPicPr>
                          <pic:cNvPr id="2157" name="图片_1_SpCnt_19"/>
                          <pic:cNvPicPr/>
                        </pic:nvPicPr>
                        <pic:blipFill>
                          <a:blip r:embed="rId12"/>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158" name="图片_1_SpCnt_20"/>
                  <wp:cNvGraphicFramePr/>
                  <a:graphic xmlns:a="http://schemas.openxmlformats.org/drawingml/2006/main">
                    <a:graphicData uri="http://schemas.openxmlformats.org/drawingml/2006/picture">
                      <pic:pic xmlns:pic="http://schemas.openxmlformats.org/drawingml/2006/picture">
                        <pic:nvPicPr>
                          <pic:cNvPr id="2158" name="图片_1_SpCnt_20"/>
                          <pic:cNvPicPr/>
                        </pic:nvPicPr>
                        <pic:blipFill>
                          <a:blip r:embed="rId10"/>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2159" name="图片_1_SpCnt_21"/>
                  <wp:cNvGraphicFramePr/>
                  <a:graphic xmlns:a="http://schemas.openxmlformats.org/drawingml/2006/main">
                    <a:graphicData uri="http://schemas.openxmlformats.org/drawingml/2006/picture">
                      <pic:pic xmlns:pic="http://schemas.openxmlformats.org/drawingml/2006/picture">
                        <pic:nvPicPr>
                          <pic:cNvPr id="2159" name="图片_1_SpCnt_21"/>
                          <pic:cNvPicPr/>
                        </pic:nvPicPr>
                        <pic:blipFill>
                          <a:blip r:embed="rId7"/>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2160" name="图片_1_SpCnt_22"/>
                  <wp:cNvGraphicFramePr/>
                  <a:graphic xmlns:a="http://schemas.openxmlformats.org/drawingml/2006/main">
                    <a:graphicData uri="http://schemas.openxmlformats.org/drawingml/2006/picture">
                      <pic:pic xmlns:pic="http://schemas.openxmlformats.org/drawingml/2006/picture">
                        <pic:nvPicPr>
                          <pic:cNvPr id="2160" name="图片_1_SpCnt_22"/>
                          <pic:cNvPicPr/>
                        </pic:nvPicPr>
                        <pic:blipFill>
                          <a:blip r:embed="rId9"/>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61" name="图片_1_SpCnt_23"/>
                  <wp:cNvGraphicFramePr/>
                  <a:graphic xmlns:a="http://schemas.openxmlformats.org/drawingml/2006/main">
                    <a:graphicData uri="http://schemas.openxmlformats.org/drawingml/2006/picture">
                      <pic:pic xmlns:pic="http://schemas.openxmlformats.org/drawingml/2006/picture">
                        <pic:nvPicPr>
                          <pic:cNvPr id="2161" name="图片_1_SpCnt_23"/>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不规范地名清理整治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F7B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不规范地名使用行为责令限期改正；逾期不改正的，对违法单位通报批评，并通知有关主管部门依法处理；对违法单位的法定代表人或者主要负责人、直接负责的主管人员和其他直接责任人员，处2000元以上1万元以下罚款。</w:t>
            </w:r>
          </w:p>
        </w:tc>
      </w:tr>
      <w:tr w14:paraId="633F37C4">
        <w:tblPrEx>
          <w:tblCellMar>
            <w:top w:w="0" w:type="dxa"/>
            <w:left w:w="108" w:type="dxa"/>
            <w:bottom w:w="0" w:type="dxa"/>
            <w:right w:w="108" w:type="dxa"/>
          </w:tblCellMar>
        </w:tblPrEx>
        <w:trPr>
          <w:cantSplit/>
          <w:trHeight w:val="6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BFEC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1026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出具婚姻状况证明（婚姻关系证明、分居证明）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2F73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7240E7DD">
        <w:tblPrEx>
          <w:tblCellMar>
            <w:top w:w="0" w:type="dxa"/>
            <w:left w:w="108" w:type="dxa"/>
            <w:bottom w:w="0" w:type="dxa"/>
            <w:right w:w="108" w:type="dxa"/>
          </w:tblCellMar>
        </w:tblPrEx>
        <w:trPr>
          <w:cantSplit/>
          <w:trHeight w:val="6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579D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4CD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地名信息数据核查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099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阶段性工作已完成，不再开展此项工作。</w:t>
            </w:r>
          </w:p>
        </w:tc>
      </w:tr>
      <w:tr w14:paraId="17B33477">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5C5124">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四、社会保障（8项）</w:t>
            </w:r>
          </w:p>
        </w:tc>
      </w:tr>
      <w:tr w14:paraId="42605B0A">
        <w:tblPrEx>
          <w:tblCellMar>
            <w:top w:w="0" w:type="dxa"/>
            <w:left w:w="108" w:type="dxa"/>
            <w:bottom w:w="0" w:type="dxa"/>
            <w:right w:w="108" w:type="dxa"/>
          </w:tblCellMar>
        </w:tblPrEx>
        <w:trPr>
          <w:cantSplit/>
          <w:trHeight w:val="77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00E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24F9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“江苏医惠保1号”推广和投保</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D18A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承接部门：宿城区医疗保障局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工作方式：按照有关要求督促指导辖区内商业保险公司做好“江苏医惠保1号”办理工作。</w:t>
            </w:r>
          </w:p>
        </w:tc>
      </w:tr>
      <w:tr w14:paraId="3A5A7E96">
        <w:tblPrEx>
          <w:tblCellMar>
            <w:top w:w="0" w:type="dxa"/>
            <w:left w:w="108" w:type="dxa"/>
            <w:bottom w:w="0" w:type="dxa"/>
            <w:right w:w="108" w:type="dxa"/>
          </w:tblCellMar>
        </w:tblPrEx>
        <w:trPr>
          <w:cantSplit/>
          <w:trHeight w:val="8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B71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AA15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退役军人残疾评定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1FC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工作方式：负责受理、初审并报市级审核，最终由省级审批。</w:t>
            </w:r>
          </w:p>
        </w:tc>
      </w:tr>
      <w:tr w14:paraId="0321384A">
        <w:tblPrEx>
          <w:tblCellMar>
            <w:top w:w="0" w:type="dxa"/>
            <w:left w:w="108" w:type="dxa"/>
            <w:bottom w:w="0" w:type="dxa"/>
            <w:right w:w="108" w:type="dxa"/>
          </w:tblCellMar>
        </w:tblPrEx>
        <w:trPr>
          <w:cantSplit/>
          <w:trHeight w:val="7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72D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6ED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参试人员身份认定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3D96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工作方式：负责受理、初审并报市级审批，最终由省级进行备案认定。</w:t>
            </w:r>
          </w:p>
        </w:tc>
      </w:tr>
      <w:tr w14:paraId="1B9B213E">
        <w:tblPrEx>
          <w:tblCellMar>
            <w:top w:w="0" w:type="dxa"/>
            <w:left w:w="108" w:type="dxa"/>
            <w:bottom w:w="0" w:type="dxa"/>
            <w:right w:w="108" w:type="dxa"/>
          </w:tblCellMar>
        </w:tblPrEx>
        <w:trPr>
          <w:cantSplit/>
          <w:trHeight w:val="10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2469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F95A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对判刑停止抚恤伤残人员恢复抚恤待遇审查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17E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工作方式：根据判刑停止抚恤伤残人员本人（精神病患者由利害关系人）申请，进行审查确认并报市级审核，最终由省级进行审批。</w:t>
            </w:r>
          </w:p>
        </w:tc>
      </w:tr>
      <w:tr w14:paraId="4844A150">
        <w:tblPrEx>
          <w:tblCellMar>
            <w:top w:w="0" w:type="dxa"/>
            <w:left w:w="108" w:type="dxa"/>
            <w:bottom w:w="0" w:type="dxa"/>
            <w:right w:w="108" w:type="dxa"/>
          </w:tblCellMar>
        </w:tblPrEx>
        <w:trPr>
          <w:cantSplit/>
          <w:trHeight w:val="102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9A98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080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集体合同审查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C7E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工作方式：依据行政相对人的申请，对提交的申请材料进行审核，一次性告知需要补正的材料。符合法定条件、标准的，受理后在规定时限内作出审查。</w:t>
            </w:r>
          </w:p>
        </w:tc>
      </w:tr>
      <w:tr w14:paraId="49CCDECE">
        <w:tblPrEx>
          <w:tblCellMar>
            <w:top w:w="0" w:type="dxa"/>
            <w:left w:w="108" w:type="dxa"/>
            <w:bottom w:w="0" w:type="dxa"/>
            <w:right w:w="108" w:type="dxa"/>
          </w:tblCellMar>
        </w:tblPrEx>
        <w:trPr>
          <w:cantSplit/>
          <w:trHeight w:val="95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C313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5AE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实行不定时工作制和综合计算工时工作制的审批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2B36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工作方式：依据行政相对人的申请，对提交的申请材料进行审核，一次性告知需要补正的材料。符合法定条件、标准的，受理后在规定时限内作出审批决定。</w:t>
            </w:r>
          </w:p>
        </w:tc>
      </w:tr>
      <w:tr w14:paraId="1D86C593">
        <w:tblPrEx>
          <w:tblCellMar>
            <w:top w:w="0" w:type="dxa"/>
            <w:left w:w="108" w:type="dxa"/>
            <w:bottom w:w="0" w:type="dxa"/>
            <w:right w:w="108" w:type="dxa"/>
          </w:tblCellMar>
        </w:tblPrEx>
        <w:trPr>
          <w:cantSplit/>
          <w:trHeight w:val="12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FFFD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890B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开展劳动技能培训</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98F9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工作方式：组织开展“五类”人员就业技能培训工作，由申请人自主选择辖区内民办职业技能学校培训并取得职业技能等级证书或资格证书后申请技能培训补贴，区人社局负责审核发放。</w:t>
            </w:r>
          </w:p>
        </w:tc>
      </w:tr>
      <w:tr w14:paraId="145266E0">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6C5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C21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3335"/>
                  <wp:effectExtent l="0" t="0" r="0" b="0"/>
                  <wp:wrapNone/>
                  <wp:docPr id="2162" name="图片_1"/>
                  <wp:cNvGraphicFramePr/>
                  <a:graphic xmlns:a="http://schemas.openxmlformats.org/drawingml/2006/main">
                    <a:graphicData uri="http://schemas.openxmlformats.org/drawingml/2006/picture">
                      <pic:pic xmlns:pic="http://schemas.openxmlformats.org/drawingml/2006/picture">
                        <pic:nvPicPr>
                          <pic:cNvPr id="2162" name="图片_1"/>
                          <pic:cNvPicPr/>
                        </pic:nvPicPr>
                        <pic:blipFill>
                          <a:blip r:embed="rId11"/>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“富民贷”推广工作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21E4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落实党中央为基层减负有关要求，不再开展此项工作。</w:t>
            </w:r>
          </w:p>
        </w:tc>
      </w:tr>
      <w:tr w14:paraId="5EC7824A">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478AAD">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五、生态环保（11项）</w:t>
            </w:r>
          </w:p>
        </w:tc>
      </w:tr>
      <w:tr w14:paraId="34867104">
        <w:tblPrEx>
          <w:tblCellMar>
            <w:top w:w="0" w:type="dxa"/>
            <w:left w:w="108" w:type="dxa"/>
            <w:bottom w:w="0" w:type="dxa"/>
            <w:right w:w="108" w:type="dxa"/>
          </w:tblCellMar>
        </w:tblPrEx>
        <w:trPr>
          <w:cantSplit/>
          <w:trHeight w:val="11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5828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FBE0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 PFOS 类生产或使用的企业，应当依法建立土壤污染隐患排查制度，保证持续有效防止有毒有害物质渗漏、流失、扬散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2FF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65F52C20">
        <w:tblPrEx>
          <w:tblCellMar>
            <w:top w:w="0" w:type="dxa"/>
            <w:left w:w="108" w:type="dxa"/>
            <w:bottom w:w="0" w:type="dxa"/>
            <w:right w:w="108" w:type="dxa"/>
          </w:tblCellMar>
        </w:tblPrEx>
        <w:trPr>
          <w:cantSplit/>
          <w:trHeight w:val="103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CD64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3DCE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土壤污染重点监管单位中涉及十溴二苯醚生产或使用的企业，应当依法建立土壤污染隐患排查制度，保证持续有效防止有毒有害物质渗漏、流失、扬散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0FD7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00C7AD67">
        <w:tblPrEx>
          <w:tblCellMar>
            <w:top w:w="0" w:type="dxa"/>
            <w:left w:w="108" w:type="dxa"/>
            <w:bottom w:w="0" w:type="dxa"/>
            <w:right w:w="108" w:type="dxa"/>
          </w:tblCellMar>
        </w:tblPrEx>
        <w:trPr>
          <w:cantSplit/>
          <w:trHeight w:val="10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B54F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2E9B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20320" cy="10160"/>
                  <wp:effectExtent l="0" t="0" r="0" b="0"/>
                  <wp:wrapNone/>
                  <wp:docPr id="2163" name="图片_1_SpCnt_14"/>
                  <wp:cNvGraphicFramePr/>
                  <a:graphic xmlns:a="http://schemas.openxmlformats.org/drawingml/2006/main">
                    <a:graphicData uri="http://schemas.openxmlformats.org/drawingml/2006/picture">
                      <pic:pic xmlns:pic="http://schemas.openxmlformats.org/drawingml/2006/picture">
                        <pic:nvPicPr>
                          <pic:cNvPr id="2163" name="图片_1_SpCnt_1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164" name="图片_1_SpCnt_15"/>
                  <wp:cNvGraphicFramePr/>
                  <a:graphic xmlns:a="http://schemas.openxmlformats.org/drawingml/2006/main">
                    <a:graphicData uri="http://schemas.openxmlformats.org/drawingml/2006/picture">
                      <pic:pic xmlns:pic="http://schemas.openxmlformats.org/drawingml/2006/picture">
                        <pic:nvPicPr>
                          <pic:cNvPr id="2164" name="图片_1_SpCnt_1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165" name="图片_1_SpCnt_16"/>
                  <wp:cNvGraphicFramePr/>
                  <a:graphic xmlns:a="http://schemas.openxmlformats.org/drawingml/2006/main">
                    <a:graphicData uri="http://schemas.openxmlformats.org/drawingml/2006/picture">
                      <pic:pic xmlns:pic="http://schemas.openxmlformats.org/drawingml/2006/picture">
                        <pic:nvPicPr>
                          <pic:cNvPr id="2165" name="图片_1_SpCnt_16"/>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2166" name="图片_1_SpCnt_17"/>
                  <wp:cNvGraphicFramePr/>
                  <a:graphic xmlns:a="http://schemas.openxmlformats.org/drawingml/2006/main">
                    <a:graphicData uri="http://schemas.openxmlformats.org/drawingml/2006/picture">
                      <pic:pic xmlns:pic="http://schemas.openxmlformats.org/drawingml/2006/picture">
                        <pic:nvPicPr>
                          <pic:cNvPr id="2166" name="图片_1_SpCnt_17"/>
                          <pic:cNvPicPr/>
                        </pic:nvPicPr>
                        <pic:blipFill>
                          <a:blip r:embed="rId13"/>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2167" name="图片_1_SpCnt_18"/>
                  <wp:cNvGraphicFramePr/>
                  <a:graphic xmlns:a="http://schemas.openxmlformats.org/drawingml/2006/main">
                    <a:graphicData uri="http://schemas.openxmlformats.org/drawingml/2006/picture">
                      <pic:pic xmlns:pic="http://schemas.openxmlformats.org/drawingml/2006/picture">
                        <pic:nvPicPr>
                          <pic:cNvPr id="2167" name="图片_1_SpCnt_18"/>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5240" cy="10160"/>
                  <wp:effectExtent l="0" t="0" r="0" b="0"/>
                  <wp:wrapNone/>
                  <wp:docPr id="2168" name="图片_1_SpCnt_19"/>
                  <wp:cNvGraphicFramePr/>
                  <a:graphic xmlns:a="http://schemas.openxmlformats.org/drawingml/2006/main">
                    <a:graphicData uri="http://schemas.openxmlformats.org/drawingml/2006/picture">
                      <pic:pic xmlns:pic="http://schemas.openxmlformats.org/drawingml/2006/picture">
                        <pic:nvPicPr>
                          <pic:cNvPr id="2168" name="图片_1_SpCnt_19"/>
                          <pic:cNvPicPr/>
                        </pic:nvPicPr>
                        <pic:blipFill>
                          <a:blip r:embed="rId15"/>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20320" cy="10160"/>
                  <wp:effectExtent l="0" t="0" r="0" b="0"/>
                  <wp:wrapNone/>
                  <wp:docPr id="2169" name="图片_1_SpCnt_20"/>
                  <wp:cNvGraphicFramePr/>
                  <a:graphic xmlns:a="http://schemas.openxmlformats.org/drawingml/2006/main">
                    <a:graphicData uri="http://schemas.openxmlformats.org/drawingml/2006/picture">
                      <pic:pic xmlns:pic="http://schemas.openxmlformats.org/drawingml/2006/picture">
                        <pic:nvPicPr>
                          <pic:cNvPr id="2169"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危险废物环境风险隐患排查整治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85A8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工作方式：建立危险废物环境风险隐患排查整治长效常态机制，形成事前源头防控、事中整改落实、事后闭环检查的全过程管理，对排查发现的问题线索，及时上报、加强整改、强化监督。</w:t>
            </w:r>
          </w:p>
        </w:tc>
      </w:tr>
      <w:tr w14:paraId="192B54DB">
        <w:tblPrEx>
          <w:tblCellMar>
            <w:top w:w="0" w:type="dxa"/>
            <w:left w:w="108" w:type="dxa"/>
            <w:bottom w:w="0" w:type="dxa"/>
            <w:right w:w="108" w:type="dxa"/>
          </w:tblCellMar>
        </w:tblPrEx>
        <w:trPr>
          <w:cantSplit/>
          <w:trHeight w:val="7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F4B2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524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开展水环境质量监测和应急监测</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CB9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工作方式：通过“双随机一公开”等方式，加强对水环境污染防治工作的监督检查，强化水环境质量监测手段，提升水环境应急监测能力。</w:t>
            </w:r>
          </w:p>
        </w:tc>
      </w:tr>
      <w:tr w14:paraId="09E3AA40">
        <w:tblPrEx>
          <w:tblCellMar>
            <w:top w:w="0" w:type="dxa"/>
            <w:left w:w="108" w:type="dxa"/>
            <w:bottom w:w="0" w:type="dxa"/>
            <w:right w:w="108" w:type="dxa"/>
          </w:tblCellMar>
        </w:tblPrEx>
        <w:trPr>
          <w:cantSplit/>
          <w:trHeight w:val="8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0FB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78D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集中式饮用水水源地环境调查评估并采取相应风险防范措施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9B98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工作方式：建立饮用水水源地日常监管及环境风险防范工作机制，组织开展饮用水水源保护区环境安全隐患排查，制定风险防范预案，推进饮用水水源保护区规范化建设。</w:t>
            </w:r>
          </w:p>
        </w:tc>
      </w:tr>
      <w:tr w14:paraId="53ABA049">
        <w:tblPrEx>
          <w:tblCellMar>
            <w:top w:w="0" w:type="dxa"/>
            <w:left w:w="108" w:type="dxa"/>
            <w:bottom w:w="0" w:type="dxa"/>
            <w:right w:w="108" w:type="dxa"/>
          </w:tblCellMar>
        </w:tblPrEx>
        <w:trPr>
          <w:cantSplit/>
          <w:trHeight w:val="110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300B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B6E8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督促新改、扩迁建项目及时做好环保手续报批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2920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工作方式：加强信息共享、工作指导，督促新改、扩迁建项目做好环保手续报批，按照建设项目环境影响评价审批程序规定，加快手续办理进度，避免出现“未批先建”及因环评手续滞后影响项目开工等问题。</w:t>
            </w:r>
          </w:p>
        </w:tc>
      </w:tr>
      <w:tr w14:paraId="26D63BE5">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DFAE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0BF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对“国三”及“国四”柴油货车提前淘汰的考核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8F5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工作方式：联合交通、公安等部门形成移动源污染防治监管合力，强化柴油货车污染治理工作举措，对超标排放行为依法依规进行处置。</w:t>
            </w:r>
          </w:p>
        </w:tc>
      </w:tr>
      <w:tr w14:paraId="670F2CF4">
        <w:tblPrEx>
          <w:tblCellMar>
            <w:top w:w="0" w:type="dxa"/>
            <w:left w:w="108" w:type="dxa"/>
            <w:bottom w:w="0" w:type="dxa"/>
            <w:right w:w="108" w:type="dxa"/>
          </w:tblCellMar>
        </w:tblPrEx>
        <w:trPr>
          <w:cantSplit/>
          <w:trHeight w:val="5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B55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6BEE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对治污攻坚宣传工作的考核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EBE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落实党中央精简优化基层考核精神，不再开展此项工作。</w:t>
            </w:r>
          </w:p>
        </w:tc>
      </w:tr>
      <w:tr w14:paraId="52015484">
        <w:tblPrEx>
          <w:tblCellMar>
            <w:top w:w="0" w:type="dxa"/>
            <w:left w:w="108" w:type="dxa"/>
            <w:bottom w:w="0" w:type="dxa"/>
            <w:right w:w="108" w:type="dxa"/>
          </w:tblCellMar>
        </w:tblPrEx>
        <w:trPr>
          <w:cantSplit/>
          <w:trHeight w:val="7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31F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C577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对在防治大气污染、保护和改善大气环境方面成绩显著的单位和个人的奖励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5F4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工作方式：负责每年通过攻坚办对先进单位和个人进行通报表彰。</w:t>
            </w:r>
          </w:p>
        </w:tc>
      </w:tr>
      <w:tr w14:paraId="3F1D70FE">
        <w:tblPrEx>
          <w:tblCellMar>
            <w:top w:w="0" w:type="dxa"/>
            <w:left w:w="108" w:type="dxa"/>
            <w:bottom w:w="0" w:type="dxa"/>
            <w:right w:w="108" w:type="dxa"/>
          </w:tblCellMar>
        </w:tblPrEx>
        <w:trPr>
          <w:cantSplit/>
          <w:trHeight w:val="57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C38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7EE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建立重污染天气应急减排清单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E812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工作方式：对接市生态环境局，做好辖区涉气清单的更新排查工作。</w:t>
            </w:r>
          </w:p>
        </w:tc>
      </w:tr>
      <w:tr w14:paraId="5748358F">
        <w:tblPrEx>
          <w:tblCellMar>
            <w:top w:w="0" w:type="dxa"/>
            <w:left w:w="108" w:type="dxa"/>
            <w:bottom w:w="0" w:type="dxa"/>
            <w:right w:w="108" w:type="dxa"/>
          </w:tblCellMar>
        </w:tblPrEx>
        <w:trPr>
          <w:cantSplit/>
          <w:trHeight w:val="10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B59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A2DD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加强甲烷等非二氧化碳温室气体排放管控，落实排放源统计调查、核算核查、监管制度，将温室气体管控纳入环评管理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5DC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工作方式：加强对非二氧化碳温室气体排放的管控力度，畅通投诉、举报渠道，依法依规对大气污染进行治理（无单独的温室气体治理）。</w:t>
            </w:r>
          </w:p>
        </w:tc>
      </w:tr>
      <w:tr w14:paraId="4892D807">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BC74F5">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六、城乡建设（12项）</w:t>
            </w:r>
          </w:p>
        </w:tc>
      </w:tr>
      <w:tr w14:paraId="3A791273">
        <w:tblPrEx>
          <w:tblCellMar>
            <w:top w:w="0" w:type="dxa"/>
            <w:left w:w="108" w:type="dxa"/>
            <w:bottom w:w="0" w:type="dxa"/>
            <w:right w:w="108" w:type="dxa"/>
          </w:tblCellMar>
        </w:tblPrEx>
        <w:trPr>
          <w:cantSplit/>
          <w:trHeight w:val="114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9168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1CD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color w:val="000000"/>
                <w:highlight w:val="none"/>
                <w:lang w:val="en-US" w:eastAsia="zh-CN" w:bidi="ar"/>
              </w:rPr>
            </w:pPr>
            <w:r>
              <w:rPr>
                <w:rFonts w:hint="default" w:ascii="Times New Roman" w:hAnsi="Times New Roman" w:eastAsia="方正仿宋_GBK" w:cs="Times New Roman"/>
                <w:color w:val="000000"/>
                <w:highlight w:val="none"/>
                <w:lang w:val="en-US" w:eastAsia="zh-CN" w:bidi="ar"/>
              </w:rPr>
              <w:t>水利基建项目初步设计文件审批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ADA7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55C4E752">
        <w:tblPrEx>
          <w:tblCellMar>
            <w:top w:w="0" w:type="dxa"/>
            <w:left w:w="108" w:type="dxa"/>
            <w:bottom w:w="0" w:type="dxa"/>
            <w:right w:w="108" w:type="dxa"/>
          </w:tblCellMar>
        </w:tblPrEx>
        <w:trPr>
          <w:cantSplit/>
          <w:trHeight w:val="10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6DF5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8CAD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建筑工程施工许可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46DE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工作方式：依据行政相对人的申请，对提交的申请材料进行审核，一次性告知需要补正的材料。符合法定条件、标准的，受理后在规定时限内核发许可证，主动将相关信息向社会公示。</w:t>
            </w:r>
          </w:p>
        </w:tc>
      </w:tr>
      <w:tr w14:paraId="4DF58064">
        <w:tblPrEx>
          <w:tblCellMar>
            <w:top w:w="0" w:type="dxa"/>
            <w:left w:w="108" w:type="dxa"/>
            <w:bottom w:w="0" w:type="dxa"/>
            <w:right w:w="108" w:type="dxa"/>
          </w:tblCellMar>
        </w:tblPrEx>
        <w:trPr>
          <w:cantSplit/>
          <w:trHeight w:val="115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B8D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FE7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房屋建筑和市政基础设施工程竣工验收的备案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60BD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区住建局质量检测中心和建筑工程服务中心负责指导与监督管理工作。</w:t>
            </w:r>
          </w:p>
        </w:tc>
      </w:tr>
      <w:tr w14:paraId="1FC16264">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8024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1003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建设工程各类合同及相关备案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3A54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0800D260">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2ED5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636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绿化工程竣工验收备案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22E6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6FEA7FE9">
        <w:tblPrEx>
          <w:tblCellMar>
            <w:top w:w="0" w:type="dxa"/>
            <w:left w:w="108" w:type="dxa"/>
            <w:bottom w:w="0" w:type="dxa"/>
            <w:right w:w="108" w:type="dxa"/>
          </w:tblCellMar>
        </w:tblPrEx>
        <w:trPr>
          <w:cantSplit/>
          <w:trHeight w:val="125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C71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5F8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砍伐城市树木、迁移古树名木审批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9F6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7A2481E8">
        <w:tblPrEx>
          <w:tblCellMar>
            <w:top w:w="0" w:type="dxa"/>
            <w:left w:w="108" w:type="dxa"/>
            <w:bottom w:w="0" w:type="dxa"/>
            <w:right w:w="108" w:type="dxa"/>
          </w:tblCellMar>
        </w:tblPrEx>
        <w:trPr>
          <w:cantSplit/>
          <w:trHeight w:val="122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2B4C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3A26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临时占用城市绿地审批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5EE0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3B16327C">
        <w:tblPrEx>
          <w:tblCellMar>
            <w:top w:w="0" w:type="dxa"/>
            <w:left w:w="108" w:type="dxa"/>
            <w:bottom w:w="0" w:type="dxa"/>
            <w:right w:w="108" w:type="dxa"/>
          </w:tblCellMar>
        </w:tblPrEx>
        <w:trPr>
          <w:cantSplit/>
          <w:trHeight w:val="111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0D3C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05D91">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依附于城市道路建设各种管线、杆线等设施审批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08B4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41A28594">
        <w:tblPrEx>
          <w:tblCellMar>
            <w:top w:w="0" w:type="dxa"/>
            <w:left w:w="108" w:type="dxa"/>
            <w:bottom w:w="0" w:type="dxa"/>
            <w:right w:w="108" w:type="dxa"/>
          </w:tblCellMar>
        </w:tblPrEx>
        <w:trPr>
          <w:cantSplit/>
          <w:trHeight w:val="8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9B17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DAB4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城市地下管线普查工作，指导督促相关权属单位对已掌握的隐患风险限期消除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5AB0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工作方式：牵头相关行业主管部门开展城市地下管线普查，按照职责分工，推动各领域有关权属单位限期消除隐患风险。</w:t>
            </w:r>
          </w:p>
        </w:tc>
      </w:tr>
      <w:tr w14:paraId="6A2FB603">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FE7E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B10D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城市桥梁上架设各类市政管线审批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A92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28AE6010">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86D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6969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color w:val="000000"/>
                <w:highlight w:val="none"/>
                <w:lang w:val="en-US" w:eastAsia="zh-CN" w:bidi="ar"/>
              </w:rPr>
            </w:pPr>
            <w:r>
              <w:rPr>
                <w:rFonts w:hint="default" w:ascii="Times New Roman" w:hAnsi="Times New Roman" w:eastAsia="方正仿宋_GBK" w:cs="Times New Roman"/>
                <w:lang w:eastAsia="zh-CN" w:bidi="ar"/>
              </w:rPr>
              <w:t>占用、挖掘城市道路</w:t>
            </w:r>
            <w:r>
              <w:rPr>
                <w:rFonts w:hint="default" w:ascii="Times New Roman" w:hAnsi="Times New Roman" w:eastAsia="方正仿宋_GBK" w:cs="Times New Roman"/>
                <w:lang w:val="en-US" w:eastAsia="zh-CN" w:bidi="ar"/>
              </w:rPr>
              <w:t>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2131">
            <w:pPr>
              <w:keepNext w:val="0"/>
              <w:keepLines w:val="0"/>
              <w:pageBreakBefore w:val="0"/>
              <w:widowControl/>
              <w:kinsoku/>
              <w:wordWrap/>
              <w:overflowPunct/>
              <w:topLinePunct w:val="0"/>
              <w:autoSpaceDE w:val="0"/>
              <w:autoSpaceDN w:val="0"/>
              <w:bidi w:val="0"/>
              <w:adjustRightInd w:val="0"/>
              <w:snapToGrid w:val="0"/>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承接部门：宿城区住房和城乡建设局</w:t>
            </w:r>
          </w:p>
          <w:p w14:paraId="5237084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lang w:eastAsia="zh-CN" w:bidi="ar"/>
              </w:rPr>
              <w:t>工作方式：依行政相对人的申请，对提交的申请材料进行审核，一次性告知需要补正的材料。符合法定条件、标准的，受理后在规定时限内作出行政许可决定，并做好指导与日常监督管理工作。</w:t>
            </w:r>
          </w:p>
        </w:tc>
      </w:tr>
      <w:tr w14:paraId="364995D4">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2F12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C2C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城镇污水排入排水管网许可</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2170" name="图片_1_SpCnt_20"/>
                  <wp:cNvGraphicFramePr/>
                  <a:graphic xmlns:a="http://schemas.openxmlformats.org/drawingml/2006/main">
                    <a:graphicData uri="http://schemas.openxmlformats.org/drawingml/2006/picture">
                      <pic:pic xmlns:pic="http://schemas.openxmlformats.org/drawingml/2006/picture">
                        <pic:nvPicPr>
                          <pic:cNvPr id="2170"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171" name="图片_1_SpCnt_21"/>
                  <wp:cNvGraphicFramePr/>
                  <a:graphic xmlns:a="http://schemas.openxmlformats.org/drawingml/2006/main">
                    <a:graphicData uri="http://schemas.openxmlformats.org/drawingml/2006/picture">
                      <pic:pic xmlns:pic="http://schemas.openxmlformats.org/drawingml/2006/picture">
                        <pic:nvPicPr>
                          <pic:cNvPr id="2171" name="图片_1_SpCnt_21"/>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5875"/>
                  <wp:effectExtent l="0" t="0" r="0" b="0"/>
                  <wp:wrapNone/>
                  <wp:docPr id="2172" name="图片_1_SpCnt_22"/>
                  <wp:cNvGraphicFramePr/>
                  <a:graphic xmlns:a="http://schemas.openxmlformats.org/drawingml/2006/main">
                    <a:graphicData uri="http://schemas.openxmlformats.org/drawingml/2006/picture">
                      <pic:pic xmlns:pic="http://schemas.openxmlformats.org/drawingml/2006/picture">
                        <pic:nvPicPr>
                          <pic:cNvPr id="2172" name="图片_1_SpCnt_22"/>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2173" name="图片_1_SpCnt_23"/>
                  <wp:cNvGraphicFramePr/>
                  <a:graphic xmlns:a="http://schemas.openxmlformats.org/drawingml/2006/main">
                    <a:graphicData uri="http://schemas.openxmlformats.org/drawingml/2006/picture">
                      <pic:pic xmlns:pic="http://schemas.openxmlformats.org/drawingml/2006/picture">
                        <pic:nvPicPr>
                          <pic:cNvPr id="2173" name="图片_1_SpCnt_2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2174" name="图片_1_SpCnt_24"/>
                  <wp:cNvGraphicFramePr/>
                  <a:graphic xmlns:a="http://schemas.openxmlformats.org/drawingml/2006/main">
                    <a:graphicData uri="http://schemas.openxmlformats.org/drawingml/2006/picture">
                      <pic:pic xmlns:pic="http://schemas.openxmlformats.org/drawingml/2006/picture">
                        <pic:nvPicPr>
                          <pic:cNvPr id="2174" name="图片_1_SpCnt_24"/>
                          <pic:cNvPicPr/>
                        </pic:nvPicPr>
                        <pic:blipFill>
                          <a:blip r:embed="rId16"/>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2175" name="图片_1_SpCnt_25"/>
                  <wp:cNvGraphicFramePr/>
                  <a:graphic xmlns:a="http://schemas.openxmlformats.org/drawingml/2006/main">
                    <a:graphicData uri="http://schemas.openxmlformats.org/drawingml/2006/picture">
                      <pic:pic xmlns:pic="http://schemas.openxmlformats.org/drawingml/2006/picture">
                        <pic:nvPicPr>
                          <pic:cNvPr id="2175" name="图片_1_SpCnt_25"/>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2176" name="图片_1_SpCnt_26"/>
                  <wp:cNvGraphicFramePr/>
                  <a:graphic xmlns:a="http://schemas.openxmlformats.org/drawingml/2006/main">
                    <a:graphicData uri="http://schemas.openxmlformats.org/drawingml/2006/picture">
                      <pic:pic xmlns:pic="http://schemas.openxmlformats.org/drawingml/2006/picture">
                        <pic:nvPicPr>
                          <pic:cNvPr id="2176" name="图片_1_SpCnt_26"/>
                          <pic:cNvPicPr/>
                        </pic:nvPicPr>
                        <pic:blipFill>
                          <a:blip r:embed="rId10"/>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2177" name="图片_1_SpCnt_27"/>
                  <wp:cNvGraphicFramePr/>
                  <a:graphic xmlns:a="http://schemas.openxmlformats.org/drawingml/2006/main">
                    <a:graphicData uri="http://schemas.openxmlformats.org/drawingml/2006/picture">
                      <pic:pic xmlns:pic="http://schemas.openxmlformats.org/drawingml/2006/picture">
                        <pic:nvPicPr>
                          <pic:cNvPr id="2177" name="图片_1_SpCnt_27"/>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7780"/>
                  <wp:effectExtent l="0" t="0" r="0" b="0"/>
                  <wp:wrapNone/>
                  <wp:docPr id="2178" name="图片_1_SpCnt_28"/>
                  <wp:cNvGraphicFramePr/>
                  <a:graphic xmlns:a="http://schemas.openxmlformats.org/drawingml/2006/main">
                    <a:graphicData uri="http://schemas.openxmlformats.org/drawingml/2006/picture">
                      <pic:pic xmlns:pic="http://schemas.openxmlformats.org/drawingml/2006/picture">
                        <pic:nvPicPr>
                          <pic:cNvPr id="2178" name="图片_1_SpCnt_28"/>
                          <pic:cNvPicPr/>
                        </pic:nvPicPr>
                        <pic:blipFill>
                          <a:blip r:embed="rId8"/>
                          <a:stretch>
                            <a:fillRect/>
                          </a:stretch>
                        </pic:blipFill>
                        <pic:spPr>
                          <a:xfrm>
                            <a:off x="0" y="0"/>
                            <a:ext cx="20320" cy="1778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2065"/>
                  <wp:effectExtent l="0" t="0" r="0" b="0"/>
                  <wp:wrapNone/>
                  <wp:docPr id="2179" name="图片_1_SpCnt_29"/>
                  <wp:cNvGraphicFramePr/>
                  <a:graphic xmlns:a="http://schemas.openxmlformats.org/drawingml/2006/main">
                    <a:graphicData uri="http://schemas.openxmlformats.org/drawingml/2006/picture">
                      <pic:pic xmlns:pic="http://schemas.openxmlformats.org/drawingml/2006/picture">
                        <pic:nvPicPr>
                          <pic:cNvPr id="2179" name="图片_1_SpCnt_29"/>
                          <pic:cNvPicPr/>
                        </pic:nvPicPr>
                        <pic:blipFill>
                          <a:blip r:embed="rId11"/>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2180" name="图片_1_SpCnt_30"/>
                  <wp:cNvGraphicFramePr/>
                  <a:graphic xmlns:a="http://schemas.openxmlformats.org/drawingml/2006/main">
                    <a:graphicData uri="http://schemas.openxmlformats.org/drawingml/2006/picture">
                      <pic:pic xmlns:pic="http://schemas.openxmlformats.org/drawingml/2006/picture">
                        <pic:nvPicPr>
                          <pic:cNvPr id="2180" name="图片_1_SpCnt_3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2181" name="图片_1_SpCnt_31"/>
                  <wp:cNvGraphicFramePr/>
                  <a:graphic xmlns:a="http://schemas.openxmlformats.org/drawingml/2006/main">
                    <a:graphicData uri="http://schemas.openxmlformats.org/drawingml/2006/picture">
                      <pic:pic xmlns:pic="http://schemas.openxmlformats.org/drawingml/2006/picture">
                        <pic:nvPicPr>
                          <pic:cNvPr id="2181"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5240" cy="10160"/>
                  <wp:effectExtent l="0" t="0" r="0" b="0"/>
                  <wp:wrapNone/>
                  <wp:docPr id="2182" name="图片_1_SpCnt_32"/>
                  <wp:cNvGraphicFramePr/>
                  <a:graphic xmlns:a="http://schemas.openxmlformats.org/drawingml/2006/main">
                    <a:graphicData uri="http://schemas.openxmlformats.org/drawingml/2006/picture">
                      <pic:pic xmlns:pic="http://schemas.openxmlformats.org/drawingml/2006/picture">
                        <pic:nvPicPr>
                          <pic:cNvPr id="2182" name="图片_1_SpCnt_32"/>
                          <pic:cNvPicPr/>
                        </pic:nvPicPr>
                        <pic:blipFill>
                          <a:blip r:embed="rId15"/>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2183" name="图片_1_SpCnt_33"/>
                  <wp:cNvGraphicFramePr/>
                  <a:graphic xmlns:a="http://schemas.openxmlformats.org/drawingml/2006/main">
                    <a:graphicData uri="http://schemas.openxmlformats.org/drawingml/2006/picture">
                      <pic:pic xmlns:pic="http://schemas.openxmlformats.org/drawingml/2006/picture">
                        <pic:nvPicPr>
                          <pic:cNvPr id="2183" name="图片_1_SpCnt_3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184" name="图片_1_SpCnt_34"/>
                  <wp:cNvGraphicFramePr/>
                  <a:graphic xmlns:a="http://schemas.openxmlformats.org/drawingml/2006/main">
                    <a:graphicData uri="http://schemas.openxmlformats.org/drawingml/2006/picture">
                      <pic:pic xmlns:pic="http://schemas.openxmlformats.org/drawingml/2006/picture">
                        <pic:nvPicPr>
                          <pic:cNvPr id="2184" name="图片_1_SpCnt_3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185" name="图片_1_SpCnt_35"/>
                  <wp:cNvGraphicFramePr/>
                  <a:graphic xmlns:a="http://schemas.openxmlformats.org/drawingml/2006/main">
                    <a:graphicData uri="http://schemas.openxmlformats.org/drawingml/2006/picture">
                      <pic:pic xmlns:pic="http://schemas.openxmlformats.org/drawingml/2006/picture">
                        <pic:nvPicPr>
                          <pic:cNvPr id="2185" name="图片_1_SpCnt_35"/>
                          <pic:cNvPicPr/>
                        </pic:nvPicPr>
                        <pic:blipFill>
                          <a:blip r:embed="rId7"/>
                          <a:stretch>
                            <a:fillRect/>
                          </a:stretch>
                        </pic:blipFill>
                        <pic:spPr>
                          <a:xfrm>
                            <a:off x="0" y="0"/>
                            <a:ext cx="20320" cy="3111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21FC">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19276727">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3E7247">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七、文化和旅游（6项）</w:t>
            </w:r>
          </w:p>
        </w:tc>
      </w:tr>
      <w:tr w14:paraId="01F93B3D">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3191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B51E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出版物零售单位设立审批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BBCCD">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承接部门：宿城区委宣传部（新闻出版局）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4E8EA61D">
        <w:tblPrEx>
          <w:tblCellMar>
            <w:top w:w="0" w:type="dxa"/>
            <w:left w:w="108" w:type="dxa"/>
            <w:bottom w:w="0" w:type="dxa"/>
            <w:right w:w="108" w:type="dxa"/>
          </w:tblCellMar>
        </w:tblPrEx>
        <w:trPr>
          <w:cantSplit/>
          <w:trHeight w:val="16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7EE2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633E">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开山、采石、开矿等破坏传统格局和历史风貌，占用保护规划确定保留的园林绿地、河湖水系、道路，修建生产、储存爆炸性、易燃性、放射性、毒害性、腐蚀性物品的工厂、仓库，在历史建筑上刻划、涂污等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E1932">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2E4C39C5">
        <w:tblPrEx>
          <w:tblCellMar>
            <w:top w:w="0" w:type="dxa"/>
            <w:left w:w="108" w:type="dxa"/>
            <w:bottom w:w="0" w:type="dxa"/>
            <w:right w:w="108" w:type="dxa"/>
          </w:tblCellMar>
        </w:tblPrEx>
        <w:trPr>
          <w:cantSplit/>
          <w:trHeight w:val="12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36C3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ECFE7">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对未经批准在历史文化名城、名镇、名村保护范围内拆除历史建筑以外的建筑物、构筑物或者其他设施的，或者在活动过程中对传统格局、历史风貌或者历史建筑构成破坏性影响的代履行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D01A">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43195C74">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A272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FD756">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对损坏或者擅自迁移、拆除历史建筑的代为恢复原状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EA5E">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工作方式：按照年度工作计划，对损坏或者擅自迁移、拆除历史建筑行为进行监督检查，依法依规开展行政强制措施。</w:t>
            </w:r>
          </w:p>
        </w:tc>
      </w:tr>
      <w:tr w14:paraId="4BF13D14">
        <w:tblPrEx>
          <w:tblCellMar>
            <w:top w:w="0" w:type="dxa"/>
            <w:left w:w="108" w:type="dxa"/>
            <w:bottom w:w="0" w:type="dxa"/>
            <w:right w:w="108" w:type="dxa"/>
          </w:tblCellMar>
        </w:tblPrEx>
        <w:trPr>
          <w:cantSplit/>
          <w:trHeight w:val="14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C54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7E69">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对历史建筑进行外部修缮装饰、添加设施以及改变历史建筑的结构或者使用性质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F3C3">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73CBA35D">
        <w:tblPrEx>
          <w:tblCellMar>
            <w:top w:w="0" w:type="dxa"/>
            <w:left w:w="108" w:type="dxa"/>
            <w:bottom w:w="0" w:type="dxa"/>
            <w:right w:w="108" w:type="dxa"/>
          </w:tblCellMar>
        </w:tblPrEx>
        <w:trPr>
          <w:cantSplit/>
          <w:trHeight w:val="18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CA7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FCDA">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w:t>
            </w:r>
            <w:r>
              <w:rPr>
                <w:rFonts w:hint="default" w:ascii="Times New Roman" w:hAnsi="Times New Roman" w:eastAsia="方正仿宋_GBK" w:cs="Times New Roman"/>
                <w:color w:val="000000"/>
                <w:spacing w:val="-6"/>
                <w:sz w:val="21"/>
                <w:highlight w:val="none"/>
                <w:lang w:val="en-US" w:eastAsia="zh-CN" w:bidi="ar"/>
              </w:rPr>
              <w:t>进行改变园林绿地、河湖水系等自然状态的活动；在核心保护范围内进行影视摄制、举办大型群众性活动；其他影响传统格局、历史风貌或者历史建筑的活动过程中对</w:t>
            </w:r>
            <w:r>
              <w:rPr>
                <w:rFonts w:hint="default" w:ascii="Times New Roman" w:hAnsi="Times New Roman" w:eastAsia="方正仿宋_GBK" w:cs="Times New Roman"/>
                <w:color w:val="000000"/>
                <w:highlight w:val="none"/>
                <w:lang w:val="en-US" w:eastAsia="zh-CN" w:bidi="ar"/>
              </w:rPr>
              <w:t>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59DDB">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32E68E40">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E3ECBC">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八、卫生健康（15项）</w:t>
            </w:r>
          </w:p>
        </w:tc>
      </w:tr>
      <w:tr w14:paraId="4E47FD95">
        <w:tblPrEx>
          <w:tblCellMar>
            <w:top w:w="0" w:type="dxa"/>
            <w:left w:w="108" w:type="dxa"/>
            <w:bottom w:w="0" w:type="dxa"/>
            <w:right w:w="108" w:type="dxa"/>
          </w:tblCellMar>
        </w:tblPrEx>
        <w:trPr>
          <w:cantSplit/>
          <w:trHeight w:val="75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E9EF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4F2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8415"/>
                  <wp:effectExtent l="0" t="0" r="0" b="0"/>
                  <wp:wrapNone/>
                  <wp:docPr id="2186" name="图片_1"/>
                  <wp:cNvGraphicFramePr/>
                  <a:graphic xmlns:a="http://schemas.openxmlformats.org/drawingml/2006/main">
                    <a:graphicData uri="http://schemas.openxmlformats.org/drawingml/2006/picture">
                      <pic:pic xmlns:pic="http://schemas.openxmlformats.org/drawingml/2006/picture">
                        <pic:nvPicPr>
                          <pic:cNvPr id="2186" name="图片_1"/>
                          <pic:cNvPicPr/>
                        </pic:nvPicPr>
                        <pic:blipFill>
                          <a:blip r:embed="rId11"/>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0160"/>
                  <wp:effectExtent l="0" t="0" r="0" b="0"/>
                  <wp:wrapNone/>
                  <wp:docPr id="2187" name="图片_1_SpCnt_1"/>
                  <wp:cNvGraphicFramePr/>
                  <a:graphic xmlns:a="http://schemas.openxmlformats.org/drawingml/2006/main">
                    <a:graphicData uri="http://schemas.openxmlformats.org/drawingml/2006/picture">
                      <pic:pic xmlns:pic="http://schemas.openxmlformats.org/drawingml/2006/picture">
                        <pic:nvPicPr>
                          <pic:cNvPr id="2187" name="图片_1_SpCnt_1"/>
                          <pic:cNvPicPr/>
                        </pic:nvPicPr>
                        <pic:blipFill>
                          <a:blip r:embed="rId17"/>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88" name="图片_1_SpCnt_2"/>
                  <wp:cNvGraphicFramePr/>
                  <a:graphic xmlns:a="http://schemas.openxmlformats.org/drawingml/2006/main">
                    <a:graphicData uri="http://schemas.openxmlformats.org/drawingml/2006/picture">
                      <pic:pic xmlns:pic="http://schemas.openxmlformats.org/drawingml/2006/picture">
                        <pic:nvPicPr>
                          <pic:cNvPr id="2188" name="图片_1_SpCnt_2"/>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3335"/>
                  <wp:effectExtent l="0" t="0" r="0" b="0"/>
                  <wp:wrapNone/>
                  <wp:docPr id="2189" name="图片_1_SpCnt_3"/>
                  <wp:cNvGraphicFramePr/>
                  <a:graphic xmlns:a="http://schemas.openxmlformats.org/drawingml/2006/main">
                    <a:graphicData uri="http://schemas.openxmlformats.org/drawingml/2006/picture">
                      <pic:pic xmlns:pic="http://schemas.openxmlformats.org/drawingml/2006/picture">
                        <pic:nvPicPr>
                          <pic:cNvPr id="2189" name="图片_1_SpCnt_3"/>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5875"/>
                  <wp:effectExtent l="0" t="0" r="0" b="0"/>
                  <wp:wrapNone/>
                  <wp:docPr id="2190" name="图片_1_SpCnt_4"/>
                  <wp:cNvGraphicFramePr/>
                  <a:graphic xmlns:a="http://schemas.openxmlformats.org/drawingml/2006/main">
                    <a:graphicData uri="http://schemas.openxmlformats.org/drawingml/2006/picture">
                      <pic:pic xmlns:pic="http://schemas.openxmlformats.org/drawingml/2006/picture">
                        <pic:nvPicPr>
                          <pic:cNvPr id="2190" name="图片_1_SpCnt_4"/>
                          <pic:cNvPicPr/>
                        </pic:nvPicPr>
                        <pic:blipFill>
                          <a:blip r:embed="rId6"/>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开展妇幼健康服务项目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28791">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采取购买医疗卫生机构服务形式，为婴幼儿家庭提供膳食营养、生长发育等健康指导。对育龄人群开展优生优育知识宣传教育，对育龄妇女开展围孕期、孕产期保健服务，承担计划生育、优生优育、生殖保健的咨询、指导和技术服务，规范开展不孕不育症诊疗。</w:t>
            </w:r>
          </w:p>
        </w:tc>
      </w:tr>
      <w:tr w14:paraId="0300BE39">
        <w:tblPrEx>
          <w:tblCellMar>
            <w:top w:w="0" w:type="dxa"/>
            <w:left w:w="108" w:type="dxa"/>
            <w:bottom w:w="0" w:type="dxa"/>
            <w:right w:w="108" w:type="dxa"/>
          </w:tblCellMar>
        </w:tblPrEx>
        <w:trPr>
          <w:cantSplit/>
          <w:trHeight w:val="95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82F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9022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91" name="图片_1_SpCnt_8"/>
                  <wp:cNvGraphicFramePr/>
                  <a:graphic xmlns:a="http://schemas.openxmlformats.org/drawingml/2006/main">
                    <a:graphicData uri="http://schemas.openxmlformats.org/drawingml/2006/picture">
                      <pic:pic xmlns:pic="http://schemas.openxmlformats.org/drawingml/2006/picture">
                        <pic:nvPicPr>
                          <pic:cNvPr id="2191" name="图片_1_SpCnt_8"/>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封存造成职业病危害事故或者可能导致职业病危害事故发生的材料和设备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3F3DA">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工作方式：畅通投诉、举报渠道，协调相关执法机构加强监管，依法依规对造成职业病危害事故或者可能导致职业病危害事故发生的材料和设备进行强制封存。</w:t>
            </w:r>
          </w:p>
        </w:tc>
      </w:tr>
      <w:tr w14:paraId="58F34E11">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3CD6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31F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对辖区内托育机构的监督管理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D337">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工作方式：落实上级卫健部门要求，协调组织相关职能部门加强对辖区范围内的托育机构的监督管理。</w:t>
            </w:r>
          </w:p>
        </w:tc>
      </w:tr>
      <w:tr w14:paraId="4AF2094E">
        <w:tblPrEx>
          <w:tblCellMar>
            <w:top w:w="0" w:type="dxa"/>
            <w:left w:w="108" w:type="dxa"/>
            <w:bottom w:w="0" w:type="dxa"/>
            <w:right w:w="108" w:type="dxa"/>
          </w:tblCellMar>
        </w:tblPrEx>
        <w:trPr>
          <w:cantSplit/>
          <w:trHeight w:val="11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576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1EA9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对发放计划生育药具工作的考核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E552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绩效目标测算与安排经费，确保免费基本避孕药具进入提供放置和发放服务的医疗机构，向社会公布免费避孕药具发放网点、免费基本避孕药具种类，掌握服务提供情况，并开展绩效评价，保障项目顺利实施。</w:t>
            </w:r>
          </w:p>
        </w:tc>
      </w:tr>
      <w:tr w14:paraId="4C21EE7C">
        <w:tblPrEx>
          <w:tblCellMar>
            <w:top w:w="0" w:type="dxa"/>
            <w:left w:w="108" w:type="dxa"/>
            <w:bottom w:w="0" w:type="dxa"/>
            <w:right w:w="108" w:type="dxa"/>
          </w:tblCellMar>
        </w:tblPrEx>
        <w:trPr>
          <w:cantSplit/>
          <w:trHeight w:val="116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A7A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9DE2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公共场所卫生许可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1611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241A0E2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F72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DF40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5875"/>
                  <wp:effectExtent l="0" t="0" r="0" b="0"/>
                  <wp:wrapNone/>
                  <wp:docPr id="2192" name="图片_1_SpCnt_17"/>
                  <wp:cNvGraphicFramePr/>
                  <a:graphic xmlns:a="http://schemas.openxmlformats.org/drawingml/2006/main">
                    <a:graphicData uri="http://schemas.openxmlformats.org/drawingml/2006/picture">
                      <pic:pic xmlns:pic="http://schemas.openxmlformats.org/drawingml/2006/picture">
                        <pic:nvPicPr>
                          <pic:cNvPr id="2192" name="图片_1_SpCnt_17"/>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193" name="图片_1_SpCnt_18"/>
                  <wp:cNvGraphicFramePr/>
                  <a:graphic xmlns:a="http://schemas.openxmlformats.org/drawingml/2006/main">
                    <a:graphicData uri="http://schemas.openxmlformats.org/drawingml/2006/picture">
                      <pic:pic xmlns:pic="http://schemas.openxmlformats.org/drawingml/2006/picture">
                        <pic:nvPicPr>
                          <pic:cNvPr id="2193" name="图片_1_SpCnt_18"/>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8415"/>
                  <wp:effectExtent l="0" t="0" r="0" b="0"/>
                  <wp:wrapNone/>
                  <wp:docPr id="2194" name="图片_1_SpCnt_19"/>
                  <wp:cNvGraphicFramePr/>
                  <a:graphic xmlns:a="http://schemas.openxmlformats.org/drawingml/2006/main">
                    <a:graphicData uri="http://schemas.openxmlformats.org/drawingml/2006/picture">
                      <pic:pic xmlns:pic="http://schemas.openxmlformats.org/drawingml/2006/picture">
                        <pic:nvPicPr>
                          <pic:cNvPr id="2194" name="图片_1_SpCnt_19"/>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195" name="图片_1_SpCnt_20"/>
                  <wp:cNvGraphicFramePr/>
                  <a:graphic xmlns:a="http://schemas.openxmlformats.org/drawingml/2006/main">
                    <a:graphicData uri="http://schemas.openxmlformats.org/drawingml/2006/picture">
                      <pic:pic xmlns:pic="http://schemas.openxmlformats.org/drawingml/2006/picture">
                        <pic:nvPicPr>
                          <pic:cNvPr id="2195" name="图片_1_SpCnt_20"/>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196" name="图片_1_SpCnt_21"/>
                  <wp:cNvGraphicFramePr/>
                  <a:graphic xmlns:a="http://schemas.openxmlformats.org/drawingml/2006/main">
                    <a:graphicData uri="http://schemas.openxmlformats.org/drawingml/2006/picture">
                      <pic:pic xmlns:pic="http://schemas.openxmlformats.org/drawingml/2006/picture">
                        <pic:nvPicPr>
                          <pic:cNvPr id="2196" name="图片_1_SpCnt_21"/>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2197" name="图片_1_SpCnt_22"/>
                  <wp:cNvGraphicFramePr/>
                  <a:graphic xmlns:a="http://schemas.openxmlformats.org/drawingml/2006/main">
                    <a:graphicData uri="http://schemas.openxmlformats.org/drawingml/2006/picture">
                      <pic:pic xmlns:pic="http://schemas.openxmlformats.org/drawingml/2006/picture">
                        <pic:nvPicPr>
                          <pic:cNvPr id="2197" name="图片_1_SpCnt_2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3335"/>
                  <wp:effectExtent l="0" t="0" r="0" b="0"/>
                  <wp:wrapNone/>
                  <wp:docPr id="2198" name="图片_1_SpCnt_23"/>
                  <wp:cNvGraphicFramePr/>
                  <a:graphic xmlns:a="http://schemas.openxmlformats.org/drawingml/2006/main">
                    <a:graphicData uri="http://schemas.openxmlformats.org/drawingml/2006/picture">
                      <pic:pic xmlns:pic="http://schemas.openxmlformats.org/drawingml/2006/picture">
                        <pic:nvPicPr>
                          <pic:cNvPr id="2198" name="图片_1_SpCnt_23"/>
                          <pic:cNvPicPr/>
                        </pic:nvPicPr>
                        <pic:blipFill>
                          <a:blip r:embed="rId11"/>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2199" name="图片_1_SpCnt_24"/>
                  <wp:cNvGraphicFramePr/>
                  <a:graphic xmlns:a="http://schemas.openxmlformats.org/drawingml/2006/main">
                    <a:graphicData uri="http://schemas.openxmlformats.org/drawingml/2006/picture">
                      <pic:pic xmlns:pic="http://schemas.openxmlformats.org/drawingml/2006/picture">
                        <pic:nvPicPr>
                          <pic:cNvPr id="2199" name="图片_1_SpCnt_2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5875"/>
                  <wp:effectExtent l="0" t="0" r="0" b="0"/>
                  <wp:wrapNone/>
                  <wp:docPr id="2200" name="图片_1_SpCnt_25"/>
                  <wp:cNvGraphicFramePr/>
                  <a:graphic xmlns:a="http://schemas.openxmlformats.org/drawingml/2006/main">
                    <a:graphicData uri="http://schemas.openxmlformats.org/drawingml/2006/picture">
                      <pic:pic xmlns:pic="http://schemas.openxmlformats.org/drawingml/2006/picture">
                        <pic:nvPicPr>
                          <pic:cNvPr id="2200" name="图片_1_SpCnt_25"/>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201" name="图片_1_SpCnt_26"/>
                  <wp:cNvGraphicFramePr/>
                  <a:graphic xmlns:a="http://schemas.openxmlformats.org/drawingml/2006/main">
                    <a:graphicData uri="http://schemas.openxmlformats.org/drawingml/2006/picture">
                      <pic:pic xmlns:pic="http://schemas.openxmlformats.org/drawingml/2006/picture">
                        <pic:nvPicPr>
                          <pic:cNvPr id="2201" name="图片_1_SpCnt_26"/>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5875"/>
                  <wp:effectExtent l="0" t="0" r="0" b="0"/>
                  <wp:wrapNone/>
                  <wp:docPr id="2202" name="图片_1_SpCnt_27"/>
                  <wp:cNvGraphicFramePr/>
                  <a:graphic xmlns:a="http://schemas.openxmlformats.org/drawingml/2006/main">
                    <a:graphicData uri="http://schemas.openxmlformats.org/drawingml/2006/picture">
                      <pic:pic xmlns:pic="http://schemas.openxmlformats.org/drawingml/2006/picture">
                        <pic:nvPicPr>
                          <pic:cNvPr id="2202" name="图片_1_SpCnt_27"/>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5875"/>
                  <wp:effectExtent l="0" t="0" r="0" b="0"/>
                  <wp:wrapNone/>
                  <wp:docPr id="2203" name="图片_1_SpCnt_28"/>
                  <wp:cNvGraphicFramePr/>
                  <a:graphic xmlns:a="http://schemas.openxmlformats.org/drawingml/2006/main">
                    <a:graphicData uri="http://schemas.openxmlformats.org/drawingml/2006/picture">
                      <pic:pic xmlns:pic="http://schemas.openxmlformats.org/drawingml/2006/picture">
                        <pic:nvPicPr>
                          <pic:cNvPr id="2203" name="图片_1_SpCnt_28"/>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3335"/>
                  <wp:effectExtent l="0" t="0" r="0" b="0"/>
                  <wp:wrapNone/>
                  <wp:docPr id="2204" name="图片_1_SpCnt_29"/>
                  <wp:cNvGraphicFramePr/>
                  <a:graphic xmlns:a="http://schemas.openxmlformats.org/drawingml/2006/main">
                    <a:graphicData uri="http://schemas.openxmlformats.org/drawingml/2006/picture">
                      <pic:pic xmlns:pic="http://schemas.openxmlformats.org/drawingml/2006/picture">
                        <pic:nvPicPr>
                          <pic:cNvPr id="2204" name="图片_1_SpCnt_29"/>
                          <pic:cNvPicPr/>
                        </pic:nvPicPr>
                        <pic:blipFill>
                          <a:blip r:embed="rId11"/>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3335"/>
                  <wp:effectExtent l="0" t="0" r="0" b="0"/>
                  <wp:wrapNone/>
                  <wp:docPr id="2205" name="图片_1_SpCnt_30"/>
                  <wp:cNvGraphicFramePr/>
                  <a:graphic xmlns:a="http://schemas.openxmlformats.org/drawingml/2006/main">
                    <a:graphicData uri="http://schemas.openxmlformats.org/drawingml/2006/picture">
                      <pic:pic xmlns:pic="http://schemas.openxmlformats.org/drawingml/2006/picture">
                        <pic:nvPicPr>
                          <pic:cNvPr id="2205" name="图片_1_SpCnt_30"/>
                          <pic:cNvPicPr/>
                        </pic:nvPicPr>
                        <pic:blipFill>
                          <a:blip r:embed="rId11"/>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2206" name="图片_1_SpCnt_31"/>
                  <wp:cNvGraphicFramePr/>
                  <a:graphic xmlns:a="http://schemas.openxmlformats.org/drawingml/2006/main">
                    <a:graphicData uri="http://schemas.openxmlformats.org/drawingml/2006/picture">
                      <pic:pic xmlns:pic="http://schemas.openxmlformats.org/drawingml/2006/picture">
                        <pic:nvPicPr>
                          <pic:cNvPr id="2206"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2207" name="图片_1_SpCnt_32"/>
                  <wp:cNvGraphicFramePr/>
                  <a:graphic xmlns:a="http://schemas.openxmlformats.org/drawingml/2006/main">
                    <a:graphicData uri="http://schemas.openxmlformats.org/drawingml/2006/picture">
                      <pic:pic xmlns:pic="http://schemas.openxmlformats.org/drawingml/2006/picture">
                        <pic:nvPicPr>
                          <pic:cNvPr id="2207" name="图片_1_SpCnt_3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5875"/>
                  <wp:effectExtent l="0" t="0" r="0" b="0"/>
                  <wp:wrapNone/>
                  <wp:docPr id="2208" name="图片_1_SpCnt_33"/>
                  <wp:cNvGraphicFramePr/>
                  <a:graphic xmlns:a="http://schemas.openxmlformats.org/drawingml/2006/main">
                    <a:graphicData uri="http://schemas.openxmlformats.org/drawingml/2006/picture">
                      <pic:pic xmlns:pic="http://schemas.openxmlformats.org/drawingml/2006/picture">
                        <pic:nvPicPr>
                          <pic:cNvPr id="2208" name="图片_1_SpCnt_33"/>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3335"/>
                  <wp:effectExtent l="0" t="0" r="0" b="0"/>
                  <wp:wrapNone/>
                  <wp:docPr id="2209" name="图片_1_SpCnt_34"/>
                  <wp:cNvGraphicFramePr/>
                  <a:graphic xmlns:a="http://schemas.openxmlformats.org/drawingml/2006/main">
                    <a:graphicData uri="http://schemas.openxmlformats.org/drawingml/2006/picture">
                      <pic:pic xmlns:pic="http://schemas.openxmlformats.org/drawingml/2006/picture">
                        <pic:nvPicPr>
                          <pic:cNvPr id="2209" name="图片_1_SpCnt_34"/>
                          <pic:cNvPicPr/>
                        </pic:nvPicPr>
                        <pic:blipFill>
                          <a:blip r:embed="rId11"/>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10" name="图片_1_SpCnt_35"/>
                  <wp:cNvGraphicFramePr/>
                  <a:graphic xmlns:a="http://schemas.openxmlformats.org/drawingml/2006/main">
                    <a:graphicData uri="http://schemas.openxmlformats.org/drawingml/2006/picture">
                      <pic:pic xmlns:pic="http://schemas.openxmlformats.org/drawingml/2006/picture">
                        <pic:nvPicPr>
                          <pic:cNvPr id="2210" name="图片_1_SpCnt_35"/>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11" name="图片_1_SpCnt_36"/>
                  <wp:cNvGraphicFramePr/>
                  <a:graphic xmlns:a="http://schemas.openxmlformats.org/drawingml/2006/main">
                    <a:graphicData uri="http://schemas.openxmlformats.org/drawingml/2006/picture">
                      <pic:pic xmlns:pic="http://schemas.openxmlformats.org/drawingml/2006/picture">
                        <pic:nvPicPr>
                          <pic:cNvPr id="2211" name="图片_1_SpCnt_36"/>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2212" name="图片_1_SpCnt_37"/>
                  <wp:cNvGraphicFramePr/>
                  <a:graphic xmlns:a="http://schemas.openxmlformats.org/drawingml/2006/main">
                    <a:graphicData uri="http://schemas.openxmlformats.org/drawingml/2006/picture">
                      <pic:pic xmlns:pic="http://schemas.openxmlformats.org/drawingml/2006/picture">
                        <pic:nvPicPr>
                          <pic:cNvPr id="2212" name="图片_1_SpCnt_37"/>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计划生育家庭特别扶助金审核确认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F39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工作方式：开展对计划生育家庭特别扶助金的政策宣传，对新增目标人群进行调查摸底及资格确认。</w:t>
            </w:r>
          </w:p>
        </w:tc>
      </w:tr>
      <w:tr w14:paraId="120837FA">
        <w:tblPrEx>
          <w:tblCellMar>
            <w:top w:w="0" w:type="dxa"/>
            <w:left w:w="108" w:type="dxa"/>
            <w:bottom w:w="0" w:type="dxa"/>
            <w:right w:w="108" w:type="dxa"/>
          </w:tblCellMar>
        </w:tblPrEx>
        <w:trPr>
          <w:cantSplit/>
          <w:trHeight w:val="8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868B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5E52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追回超领、冒领计划生育各类扶助资金、补助资金</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6E3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工作方式：畅通投诉、举报渠道，加强对计划生育各类扶助资金、补助资金的监管力度，根据投诉举报线索，及时追回超领、冒领的计划生育各类扶助资金、补助资金。</w:t>
            </w:r>
          </w:p>
        </w:tc>
      </w:tr>
      <w:tr w14:paraId="7EB2F340">
        <w:tblPrEx>
          <w:tblCellMar>
            <w:top w:w="0" w:type="dxa"/>
            <w:left w:w="108" w:type="dxa"/>
            <w:bottom w:w="0" w:type="dxa"/>
            <w:right w:w="108" w:type="dxa"/>
          </w:tblCellMar>
        </w:tblPrEx>
        <w:trPr>
          <w:cantSplit/>
          <w:trHeight w:val="8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DD7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D1E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受理用人单位职业病危害项目申报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9F89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工作方式：组织辖区存在职业病危害的相关用人单位通过江苏省用人单位职业健康服务平台进行信息申报，负责对申报信息进行受理并审核。</w:t>
            </w:r>
          </w:p>
        </w:tc>
      </w:tr>
      <w:tr w14:paraId="229498B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0BAA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78A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15875"/>
                  <wp:effectExtent l="0" t="0" r="0" b="0"/>
                  <wp:wrapNone/>
                  <wp:docPr id="2213" name="图片_1_SpCnt_50"/>
                  <wp:cNvGraphicFramePr/>
                  <a:graphic xmlns:a="http://schemas.openxmlformats.org/drawingml/2006/main">
                    <a:graphicData uri="http://schemas.openxmlformats.org/drawingml/2006/picture">
                      <pic:pic xmlns:pic="http://schemas.openxmlformats.org/drawingml/2006/picture">
                        <pic:nvPicPr>
                          <pic:cNvPr id="2213" name="图片_1_SpCnt_5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13335"/>
                  <wp:effectExtent l="0" t="0" r="0" b="0"/>
                  <wp:wrapNone/>
                  <wp:docPr id="2214" name="图片_1_SpCnt_51"/>
                  <wp:cNvGraphicFramePr/>
                  <a:graphic xmlns:a="http://schemas.openxmlformats.org/drawingml/2006/main">
                    <a:graphicData uri="http://schemas.openxmlformats.org/drawingml/2006/picture">
                      <pic:pic xmlns:pic="http://schemas.openxmlformats.org/drawingml/2006/picture">
                        <pic:nvPicPr>
                          <pic:cNvPr id="2214" name="图片_1_SpCnt_51"/>
                          <pic:cNvPicPr/>
                        </pic:nvPicPr>
                        <pic:blipFill>
                          <a:blip r:embed="rId11"/>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10160"/>
                  <wp:effectExtent l="0" t="0" r="0" b="0"/>
                  <wp:wrapNone/>
                  <wp:docPr id="2215" name="图片_1_SpCnt_52"/>
                  <wp:cNvGraphicFramePr/>
                  <a:graphic xmlns:a="http://schemas.openxmlformats.org/drawingml/2006/main">
                    <a:graphicData uri="http://schemas.openxmlformats.org/drawingml/2006/picture">
                      <pic:pic xmlns:pic="http://schemas.openxmlformats.org/drawingml/2006/picture">
                        <pic:nvPicPr>
                          <pic:cNvPr id="2215" name="图片_1_SpCnt_52"/>
                          <pic:cNvPicPr/>
                        </pic:nvPicPr>
                        <pic:blipFill>
                          <a:blip r:embed="rId11"/>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16" name="图片_1_SpCnt_53"/>
                  <wp:cNvGraphicFramePr/>
                  <a:graphic xmlns:a="http://schemas.openxmlformats.org/drawingml/2006/main">
                    <a:graphicData uri="http://schemas.openxmlformats.org/drawingml/2006/picture">
                      <pic:pic xmlns:pic="http://schemas.openxmlformats.org/drawingml/2006/picture">
                        <pic:nvPicPr>
                          <pic:cNvPr id="2216" name="图片_1_SpCnt_53"/>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17" name="图片_1_SpCnt_54"/>
                  <wp:cNvGraphicFramePr/>
                  <a:graphic xmlns:a="http://schemas.openxmlformats.org/drawingml/2006/main">
                    <a:graphicData uri="http://schemas.openxmlformats.org/drawingml/2006/picture">
                      <pic:pic xmlns:pic="http://schemas.openxmlformats.org/drawingml/2006/picture">
                        <pic:nvPicPr>
                          <pic:cNvPr id="2217" name="图片_1_SpCnt_54"/>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组织宣传动员艾滋病扩大筛查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6CC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工作方式：开展政策宣传，做好对65岁及以上老年人和健康证办理人员的免费艾滋病筛查。</w:t>
            </w:r>
          </w:p>
        </w:tc>
      </w:tr>
      <w:tr w14:paraId="1144CDAA">
        <w:tblPrEx>
          <w:tblCellMar>
            <w:top w:w="0" w:type="dxa"/>
            <w:left w:w="108" w:type="dxa"/>
            <w:bottom w:w="0" w:type="dxa"/>
            <w:right w:w="108" w:type="dxa"/>
          </w:tblCellMar>
        </w:tblPrEx>
        <w:trPr>
          <w:cantSplit/>
          <w:trHeight w:val="110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7EFB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8F0E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5875"/>
                  <wp:effectExtent l="0" t="0" r="0" b="0"/>
                  <wp:wrapNone/>
                  <wp:docPr id="2218" name="图片_1_SpCnt_60"/>
                  <wp:cNvGraphicFramePr/>
                  <a:graphic xmlns:a="http://schemas.openxmlformats.org/drawingml/2006/main">
                    <a:graphicData uri="http://schemas.openxmlformats.org/drawingml/2006/picture">
                      <pic:pic xmlns:pic="http://schemas.openxmlformats.org/drawingml/2006/picture">
                        <pic:nvPicPr>
                          <pic:cNvPr id="2218" name="图片_1_SpCnt_6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219" name="图片_1_SpCnt_61"/>
                  <wp:cNvGraphicFramePr/>
                  <a:graphic xmlns:a="http://schemas.openxmlformats.org/drawingml/2006/main">
                    <a:graphicData uri="http://schemas.openxmlformats.org/drawingml/2006/picture">
                      <pic:pic xmlns:pic="http://schemas.openxmlformats.org/drawingml/2006/picture">
                        <pic:nvPicPr>
                          <pic:cNvPr id="2219" name="图片_1_SpCnt_61"/>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5875"/>
                  <wp:effectExtent l="0" t="0" r="0" b="0"/>
                  <wp:wrapNone/>
                  <wp:docPr id="2220" name="图片_1_SpCnt_62"/>
                  <wp:cNvGraphicFramePr/>
                  <a:graphic xmlns:a="http://schemas.openxmlformats.org/drawingml/2006/main">
                    <a:graphicData uri="http://schemas.openxmlformats.org/drawingml/2006/picture">
                      <pic:pic xmlns:pic="http://schemas.openxmlformats.org/drawingml/2006/picture">
                        <pic:nvPicPr>
                          <pic:cNvPr id="2220" name="图片_1_SpCnt_6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0160"/>
                  <wp:effectExtent l="0" t="0" r="0" b="0"/>
                  <wp:wrapNone/>
                  <wp:docPr id="2221" name="图片_1_SpCnt_63"/>
                  <wp:cNvGraphicFramePr/>
                  <a:graphic xmlns:a="http://schemas.openxmlformats.org/drawingml/2006/main">
                    <a:graphicData uri="http://schemas.openxmlformats.org/drawingml/2006/picture">
                      <pic:pic xmlns:pic="http://schemas.openxmlformats.org/drawingml/2006/picture">
                        <pic:nvPicPr>
                          <pic:cNvPr id="2221" name="图片_1_SpCnt_63"/>
                          <pic:cNvPicPr/>
                        </pic:nvPicPr>
                        <pic:blipFill>
                          <a:blip r:embed="rId11"/>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医疗机构设立前置检查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4E29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申请的医疗机构级别和类别，对提交材料进行审核，一次性告知需要补正的材料，按照医疗机构标准对现场进行检查。符合法定条件、标准的，受理后审核并在规定时限内作出行政许可决定，主动将相关信息向社会公示。</w:t>
            </w:r>
          </w:p>
        </w:tc>
      </w:tr>
      <w:tr w14:paraId="2BC45F25">
        <w:tblPrEx>
          <w:tblCellMar>
            <w:top w:w="0" w:type="dxa"/>
            <w:left w:w="108" w:type="dxa"/>
            <w:bottom w:w="0" w:type="dxa"/>
            <w:right w:w="108" w:type="dxa"/>
          </w:tblCellMar>
        </w:tblPrEx>
        <w:trPr>
          <w:cantSplit/>
          <w:trHeight w:val="84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A1BE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1EF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222" name="图片_1_SpCnt_66"/>
                  <wp:cNvGraphicFramePr/>
                  <a:graphic xmlns:a="http://schemas.openxmlformats.org/drawingml/2006/main">
                    <a:graphicData uri="http://schemas.openxmlformats.org/drawingml/2006/picture">
                      <pic:pic xmlns:pic="http://schemas.openxmlformats.org/drawingml/2006/picture">
                        <pic:nvPicPr>
                          <pic:cNvPr id="2222" name="图片_1_SpCnt_66"/>
                          <pic:cNvPicPr/>
                        </pic:nvPicPr>
                        <pic:blipFill>
                          <a:blip r:embed="rId10"/>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223" name="图片_1_SpCnt_67"/>
                  <wp:cNvGraphicFramePr/>
                  <a:graphic xmlns:a="http://schemas.openxmlformats.org/drawingml/2006/main">
                    <a:graphicData uri="http://schemas.openxmlformats.org/drawingml/2006/picture">
                      <pic:pic xmlns:pic="http://schemas.openxmlformats.org/drawingml/2006/picture">
                        <pic:nvPicPr>
                          <pic:cNvPr id="2223" name="图片_1_SpCnt_67"/>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0160"/>
                  <wp:effectExtent l="0" t="0" r="0" b="0"/>
                  <wp:wrapNone/>
                  <wp:docPr id="2224" name="图片_1_SpCnt_68"/>
                  <wp:cNvGraphicFramePr/>
                  <a:graphic xmlns:a="http://schemas.openxmlformats.org/drawingml/2006/main">
                    <a:graphicData uri="http://schemas.openxmlformats.org/drawingml/2006/picture">
                      <pic:pic xmlns:pic="http://schemas.openxmlformats.org/drawingml/2006/picture">
                        <pic:nvPicPr>
                          <pic:cNvPr id="2224" name="图片_1_SpCnt_68"/>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3335"/>
                  <wp:effectExtent l="0" t="0" r="0" b="0"/>
                  <wp:wrapNone/>
                  <wp:docPr id="2225" name="图片_1_SpCnt_69"/>
                  <wp:cNvGraphicFramePr/>
                  <a:graphic xmlns:a="http://schemas.openxmlformats.org/drawingml/2006/main">
                    <a:graphicData uri="http://schemas.openxmlformats.org/drawingml/2006/picture">
                      <pic:pic xmlns:pic="http://schemas.openxmlformats.org/drawingml/2006/picture">
                        <pic:nvPicPr>
                          <pic:cNvPr id="2225" name="图片_1_SpCnt_69"/>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8415"/>
                  <wp:effectExtent l="0" t="0" r="0" b="0"/>
                  <wp:wrapNone/>
                  <wp:docPr id="2226" name="图片_1_SpCnt_70"/>
                  <wp:cNvGraphicFramePr/>
                  <a:graphic xmlns:a="http://schemas.openxmlformats.org/drawingml/2006/main">
                    <a:graphicData uri="http://schemas.openxmlformats.org/drawingml/2006/picture">
                      <pic:pic xmlns:pic="http://schemas.openxmlformats.org/drawingml/2006/picture">
                        <pic:nvPicPr>
                          <pic:cNvPr id="2226" name="图片_1_SpCnt_70"/>
                          <pic:cNvPicPr/>
                        </pic:nvPicPr>
                        <pic:blipFill>
                          <a:blip r:embed="rId11"/>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3335"/>
                  <wp:effectExtent l="0" t="0" r="0" b="0"/>
                  <wp:wrapNone/>
                  <wp:docPr id="2227" name="图片_1_SpCnt_71"/>
                  <wp:cNvGraphicFramePr/>
                  <a:graphic xmlns:a="http://schemas.openxmlformats.org/drawingml/2006/main">
                    <a:graphicData uri="http://schemas.openxmlformats.org/drawingml/2006/picture">
                      <pic:pic xmlns:pic="http://schemas.openxmlformats.org/drawingml/2006/picture">
                        <pic:nvPicPr>
                          <pic:cNvPr id="2227" name="图片_1_SpCnt_71"/>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5875"/>
                  <wp:effectExtent l="0" t="0" r="0" b="0"/>
                  <wp:wrapNone/>
                  <wp:docPr id="2228" name="图片_1_SpCnt_72"/>
                  <wp:cNvGraphicFramePr/>
                  <a:graphic xmlns:a="http://schemas.openxmlformats.org/drawingml/2006/main">
                    <a:graphicData uri="http://schemas.openxmlformats.org/drawingml/2006/picture">
                      <pic:pic xmlns:pic="http://schemas.openxmlformats.org/drawingml/2006/picture">
                        <pic:nvPicPr>
                          <pic:cNvPr id="2228" name="图片_1_SpCnt_72"/>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0160"/>
                  <wp:effectExtent l="0" t="0" r="0" b="0"/>
                  <wp:wrapNone/>
                  <wp:docPr id="2229" name="图片_1_SpCnt_73"/>
                  <wp:cNvGraphicFramePr/>
                  <a:graphic xmlns:a="http://schemas.openxmlformats.org/drawingml/2006/main">
                    <a:graphicData uri="http://schemas.openxmlformats.org/drawingml/2006/picture">
                      <pic:pic xmlns:pic="http://schemas.openxmlformats.org/drawingml/2006/picture">
                        <pic:nvPicPr>
                          <pic:cNvPr id="2229" name="图片_1_SpCnt_7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5875"/>
                  <wp:effectExtent l="0" t="0" r="0" b="0"/>
                  <wp:wrapNone/>
                  <wp:docPr id="2230" name="图片_1_SpCnt_74"/>
                  <wp:cNvGraphicFramePr/>
                  <a:graphic xmlns:a="http://schemas.openxmlformats.org/drawingml/2006/main">
                    <a:graphicData uri="http://schemas.openxmlformats.org/drawingml/2006/picture">
                      <pic:pic xmlns:pic="http://schemas.openxmlformats.org/drawingml/2006/picture">
                        <pic:nvPicPr>
                          <pic:cNvPr id="2230" name="图片_1_SpCnt_74"/>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231" name="图片_1_SpCnt_75"/>
                  <wp:cNvGraphicFramePr/>
                  <a:graphic xmlns:a="http://schemas.openxmlformats.org/drawingml/2006/main">
                    <a:graphicData uri="http://schemas.openxmlformats.org/drawingml/2006/picture">
                      <pic:pic xmlns:pic="http://schemas.openxmlformats.org/drawingml/2006/picture">
                        <pic:nvPicPr>
                          <pic:cNvPr id="2231" name="图片_1_SpCnt_7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10160"/>
                  <wp:effectExtent l="0" t="0" r="0" b="0"/>
                  <wp:wrapNone/>
                  <wp:docPr id="2232" name="图片_1_SpCnt_76"/>
                  <wp:cNvGraphicFramePr/>
                  <a:graphic xmlns:a="http://schemas.openxmlformats.org/drawingml/2006/main">
                    <a:graphicData uri="http://schemas.openxmlformats.org/drawingml/2006/picture">
                      <pic:pic xmlns:pic="http://schemas.openxmlformats.org/drawingml/2006/picture">
                        <pic:nvPicPr>
                          <pic:cNvPr id="2232" name="图片_1_SpCnt_7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对新生儿在医疗保健机构以外地点死亡的核查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CDAD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工作方式：局派驻镇（街道）的卫健服务中心负责每季度对辖区内的5岁以下儿童信息进行核查，备注记录死亡、迁出等情况。</w:t>
            </w:r>
          </w:p>
        </w:tc>
      </w:tr>
      <w:tr w14:paraId="12260670">
        <w:tblPrEx>
          <w:tblCellMar>
            <w:top w:w="0" w:type="dxa"/>
            <w:left w:w="108" w:type="dxa"/>
            <w:bottom w:w="0" w:type="dxa"/>
            <w:right w:w="108" w:type="dxa"/>
          </w:tblCellMar>
        </w:tblPrEx>
        <w:trPr>
          <w:cantSplit/>
          <w:trHeight w:val="5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76A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474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再生育审批</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233" name="图片_1_SpCnt_79"/>
                  <wp:cNvGraphicFramePr/>
                  <a:graphic xmlns:a="http://schemas.openxmlformats.org/drawingml/2006/main">
                    <a:graphicData uri="http://schemas.openxmlformats.org/drawingml/2006/picture">
                      <pic:pic xmlns:pic="http://schemas.openxmlformats.org/drawingml/2006/picture">
                        <pic:nvPicPr>
                          <pic:cNvPr id="2233" name="图片_1_SpCnt_79"/>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13335"/>
                  <wp:effectExtent l="0" t="0" r="0" b="0"/>
                  <wp:wrapNone/>
                  <wp:docPr id="2234" name="图片_1_SpCnt_80"/>
                  <wp:cNvGraphicFramePr/>
                  <a:graphic xmlns:a="http://schemas.openxmlformats.org/drawingml/2006/main">
                    <a:graphicData uri="http://schemas.openxmlformats.org/drawingml/2006/picture">
                      <pic:pic xmlns:pic="http://schemas.openxmlformats.org/drawingml/2006/picture">
                        <pic:nvPicPr>
                          <pic:cNvPr id="2234" name="图片_1_SpCnt_80"/>
                          <pic:cNvPicPr/>
                        </pic:nvPicPr>
                        <pic:blipFill>
                          <a:blip r:embed="rId8"/>
                          <a:stretch>
                            <a:fillRect/>
                          </a:stretch>
                        </pic:blipFill>
                        <pic:spPr>
                          <a:xfrm>
                            <a:off x="0" y="0"/>
                            <a:ext cx="20320" cy="1333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79FA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70B494E6">
        <w:tblPrEx>
          <w:tblCellMar>
            <w:top w:w="0" w:type="dxa"/>
            <w:left w:w="108" w:type="dxa"/>
            <w:bottom w:w="0" w:type="dxa"/>
            <w:right w:w="108" w:type="dxa"/>
          </w:tblCellMar>
        </w:tblPrEx>
        <w:trPr>
          <w:cantSplit/>
          <w:trHeight w:val="5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74C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9C2B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35" name="图片_1_SpCnt_84"/>
                  <wp:cNvGraphicFramePr/>
                  <a:graphic xmlns:a="http://schemas.openxmlformats.org/drawingml/2006/main">
                    <a:graphicData uri="http://schemas.openxmlformats.org/drawingml/2006/picture">
                      <pic:pic xmlns:pic="http://schemas.openxmlformats.org/drawingml/2006/picture">
                        <pic:nvPicPr>
                          <pic:cNvPr id="2235" name="图片_1_SpCnt_84"/>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8415"/>
                  <wp:effectExtent l="0" t="0" r="0" b="0"/>
                  <wp:wrapNone/>
                  <wp:docPr id="2236" name="图片_1_SpCnt_85"/>
                  <wp:cNvGraphicFramePr/>
                  <a:graphic xmlns:a="http://schemas.openxmlformats.org/drawingml/2006/main">
                    <a:graphicData uri="http://schemas.openxmlformats.org/drawingml/2006/picture">
                      <pic:pic xmlns:pic="http://schemas.openxmlformats.org/drawingml/2006/picture">
                        <pic:nvPicPr>
                          <pic:cNvPr id="2236" name="图片_1_SpCnt_85"/>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组织已婚育龄妇女进行孕情检查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CAA4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6D8A8B0D">
        <w:tblPrEx>
          <w:tblCellMar>
            <w:top w:w="0" w:type="dxa"/>
            <w:left w:w="108" w:type="dxa"/>
            <w:bottom w:w="0" w:type="dxa"/>
            <w:right w:w="108" w:type="dxa"/>
          </w:tblCellMar>
        </w:tblPrEx>
        <w:trPr>
          <w:cantSplit/>
          <w:trHeight w:val="51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3D6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150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社会抚养费征收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95F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56A09404">
        <w:tblPrEx>
          <w:tblCellMar>
            <w:top w:w="0" w:type="dxa"/>
            <w:left w:w="108" w:type="dxa"/>
            <w:bottom w:w="0" w:type="dxa"/>
            <w:right w:w="108" w:type="dxa"/>
          </w:tblCellMar>
        </w:tblPrEx>
        <w:trPr>
          <w:cantSplit/>
          <w:trHeight w:val="6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BA3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8D4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办理《流动人口婚育证明》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20D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2195CD7A">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585DD8">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九、应急管理及消防（11项）</w:t>
            </w:r>
          </w:p>
        </w:tc>
      </w:tr>
      <w:tr w14:paraId="799B88C1">
        <w:tblPrEx>
          <w:tblCellMar>
            <w:top w:w="0" w:type="dxa"/>
            <w:left w:w="108" w:type="dxa"/>
            <w:bottom w:w="0" w:type="dxa"/>
            <w:right w:w="108" w:type="dxa"/>
          </w:tblCellMar>
        </w:tblPrEx>
        <w:trPr>
          <w:cantSplit/>
          <w:trHeight w:val="8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DE7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B9B2">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对消防设施、器材、消防安全标志配置、设置不符合标准的处罚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44F1B">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工作方式：畅通投诉、举报渠道，加强对消防设施、器材、消防安全标志的配置、设置行为的监管力度，依法依规对违反国家标准、行业标准的行为进行处置。</w:t>
            </w:r>
          </w:p>
        </w:tc>
      </w:tr>
      <w:tr w14:paraId="69817EE2">
        <w:tblPrEx>
          <w:tblCellMar>
            <w:top w:w="0" w:type="dxa"/>
            <w:left w:w="108" w:type="dxa"/>
            <w:bottom w:w="0" w:type="dxa"/>
            <w:right w:w="108" w:type="dxa"/>
          </w:tblCellMar>
        </w:tblPrEx>
        <w:trPr>
          <w:cantSplit/>
          <w:trHeight w:val="4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9E71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409B">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对消防设施、器材、消防安全标志未保持完好有效的处罚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FB20">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工作方式：畅通投诉、举报渠道，加强对消防设施、器材、消防安全标志使用的监管力度，依法依规对消防设施、器材、消防安全标志未保持完好有效的行为进行处置。</w:t>
            </w:r>
          </w:p>
        </w:tc>
      </w:tr>
      <w:tr w14:paraId="0B9736D6">
        <w:tblPrEx>
          <w:tblCellMar>
            <w:top w:w="0" w:type="dxa"/>
            <w:left w:w="108" w:type="dxa"/>
            <w:bottom w:w="0" w:type="dxa"/>
            <w:right w:w="108" w:type="dxa"/>
          </w:tblCellMar>
        </w:tblPrEx>
        <w:trPr>
          <w:cantSplit/>
          <w:trHeight w:val="4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391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C7B8">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对损坏、挪用消防设施、器材的处罚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1DF1">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工作方式：畅通投诉、举报渠道，加强对消防设施、器材使用的监管力度，依法依规对损坏、挪用消防设施、器材的行为进行处置。</w:t>
            </w:r>
          </w:p>
        </w:tc>
      </w:tr>
      <w:tr w14:paraId="1D509ECE">
        <w:tblPrEx>
          <w:tblCellMar>
            <w:top w:w="0" w:type="dxa"/>
            <w:left w:w="108" w:type="dxa"/>
            <w:bottom w:w="0" w:type="dxa"/>
            <w:right w:w="108" w:type="dxa"/>
          </w:tblCellMar>
        </w:tblPrEx>
        <w:trPr>
          <w:cantSplit/>
          <w:trHeight w:val="25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D8EC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7C961">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对擅自停用、拆除消防设施、器材的处罚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D5887">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工作方式：畅通投诉、举报渠道，加强对消防设施、器材使用的监管力度，依法依规对擅自停用、拆除消防设施、器材的行为进行处置。</w:t>
            </w:r>
          </w:p>
        </w:tc>
      </w:tr>
      <w:tr w14:paraId="2ADB8C4A">
        <w:tblPrEx>
          <w:tblCellMar>
            <w:top w:w="0" w:type="dxa"/>
            <w:left w:w="108" w:type="dxa"/>
            <w:bottom w:w="0" w:type="dxa"/>
            <w:right w:w="108" w:type="dxa"/>
          </w:tblCellMar>
        </w:tblPrEx>
        <w:trPr>
          <w:cantSplit/>
          <w:trHeight w:val="6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90E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D5A30">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对埋压、圈占、遮挡消火栓的处罚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5CD0A">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工作方式：畅通投诉、举报渠道，加强对消火栓日常管理维护的监管力度，依法依规对埋压、圈占、遮挡消火栓的行为进行处置。</w:t>
            </w:r>
          </w:p>
        </w:tc>
      </w:tr>
      <w:tr w14:paraId="001D8317">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F3C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9D43">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对占用、堵塞、封闭疏散通道、安全出口或者有其他妨碍安全疏散行为的处罚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7D081">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工作方式：畅通投诉、举报渠道，加强对疏散通道、安全出口的监管力度，依法依规对占用、堵塞、封闭疏散通道、安全出口的行为进行处置。</w:t>
            </w:r>
          </w:p>
        </w:tc>
      </w:tr>
      <w:tr w14:paraId="696969BA">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62F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143BC">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对占用、堵塞、封闭消防车通道，妨碍消防车通行的处罚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6191">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工作方式：畅通投诉、举报渠道，加强对消防通道的监管力度，依法依规对占用、堵塞、封闭消防车通道的行为进行处置。</w:t>
            </w:r>
          </w:p>
        </w:tc>
      </w:tr>
      <w:tr w14:paraId="417EC743">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551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3F17">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对门窗上设置影响逃生、灭火救援的障碍物的处罚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6DAB">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工作方式：畅通投诉、举报渠道，加强对有关工作的监管力度，依法依规对人员密集场所在门窗上设置影响逃生、灭火救援的障碍物的行为进行处置。</w:t>
            </w:r>
          </w:p>
        </w:tc>
      </w:tr>
      <w:tr w14:paraId="44728CFA">
        <w:tblPrEx>
          <w:tblCellMar>
            <w:top w:w="0" w:type="dxa"/>
            <w:left w:w="108" w:type="dxa"/>
            <w:bottom w:w="0" w:type="dxa"/>
            <w:right w:w="108" w:type="dxa"/>
          </w:tblCellMar>
        </w:tblPrEx>
        <w:trPr>
          <w:cantSplit/>
          <w:trHeight w:val="8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9BF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5CEF">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对生产、储存、经营其他场所与居住场所设置在同一建筑物内不符合消防技术标准的处罚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2C7B">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工作方式：畅通投诉、举报渠道，加强对有关工作的监管力度，依法依规对其他场所与居住场所设置在同一建筑物内不符合消防技术标准的行为进行处置。</w:t>
            </w:r>
          </w:p>
        </w:tc>
      </w:tr>
      <w:tr w14:paraId="38B1ABA7">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FFAD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F6FA1">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对电器产品的安装、使用不符合规定的处罚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93F9">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工作方式：畅通投诉、举报渠道，加强对电器产品安装、使用行为的监管力度，依法依规对电器产品的安装、使用不符合规定的行为进行处置。</w:t>
            </w:r>
          </w:p>
        </w:tc>
      </w:tr>
      <w:tr w14:paraId="1ADAF56F">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6F21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1872B">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对电器线路的设计、敷设、维护保养、检测不符合规定的处罚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5A75">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工作方式：畅通投诉、举报渠道，加强对电器线路设计等行为的监管力度，依法依规对电器线路的设计、敷设、维护保养、检测不符合规定的行为进行处置。</w:t>
            </w:r>
          </w:p>
        </w:tc>
      </w:tr>
      <w:tr w14:paraId="34411E24">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D9592C">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highlight w:val="none"/>
                <w:lang w:val="en-US" w:eastAsia="zh-CN" w:bidi="ar"/>
              </w:rPr>
              <w:t>十、市场监管（6项）</w:t>
            </w:r>
          </w:p>
        </w:tc>
      </w:tr>
      <w:tr w14:paraId="46EE921B">
        <w:tblPrEx>
          <w:tblCellMar>
            <w:top w:w="0" w:type="dxa"/>
            <w:left w:w="108" w:type="dxa"/>
            <w:bottom w:w="0" w:type="dxa"/>
            <w:right w:w="108" w:type="dxa"/>
          </w:tblCellMar>
        </w:tblPrEx>
        <w:trPr>
          <w:cantSplit/>
          <w:trHeight w:val="1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5C38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DD708">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fldChar w:fldCharType="begin"/>
            </w:r>
            <w:r>
              <w:rPr>
                <w:rFonts w:hint="default" w:ascii="Times New Roman" w:hAnsi="Times New Roman" w:eastAsia="方正仿宋_GBK" w:cs="Times New Roman"/>
                <w:snapToGrid w:val="0"/>
                <w:color w:val="auto"/>
                <w:kern w:val="0"/>
                <w:szCs w:val="21"/>
                <w:lang w:val="en-US" w:eastAsia="zh-CN" w:bidi="ar"/>
              </w:rPr>
              <w:instrText xml:space="preserve"> HYPERLINK "http://www.js.gov.cn/qlygpt/wbtj/gs/qz/201012/t20101209_545135.html" \o "http://www.js.gov.cn/qlygpt/wbtj/gs/qz/201012/t20101209_545135.html" </w:instrText>
            </w:r>
            <w:r>
              <w:rPr>
                <w:rFonts w:hint="default" w:ascii="Times New Roman" w:hAnsi="Times New Roman" w:eastAsia="方正仿宋_GBK" w:cs="Times New Roman"/>
                <w:snapToGrid w:val="0"/>
                <w:color w:val="auto"/>
                <w:kern w:val="0"/>
                <w:szCs w:val="21"/>
                <w:lang w:val="en-US" w:eastAsia="zh-CN" w:bidi="ar"/>
              </w:rPr>
              <w:fldChar w:fldCharType="separate"/>
            </w:r>
            <w:r>
              <w:rPr>
                <w:rFonts w:hint="default" w:ascii="Times New Roman" w:hAnsi="Times New Roman" w:eastAsia="方正仿宋_GBK" w:cs="Times New Roman"/>
                <w:snapToGrid w:val="0"/>
                <w:color w:val="auto"/>
                <w:kern w:val="0"/>
                <w:szCs w:val="21"/>
                <w:lang w:val="en-US" w:eastAsia="zh-CN" w:bidi="ar"/>
              </w:rPr>
              <w:t>对涉嫌无照经营行为进行查处取缔时，查封、扣押与无照经营行为有关的合同、票据、账簿以及其他资料</w:t>
            </w:r>
            <w:r>
              <w:rPr>
                <w:rFonts w:hint="default" w:ascii="Times New Roman" w:hAnsi="Times New Roman" w:eastAsia="方正仿宋_GBK" w:cs="Times New Roman"/>
                <w:snapToGrid w:val="0"/>
                <w:color w:val="auto"/>
                <w:kern w:val="0"/>
                <w:szCs w:val="21"/>
                <w:lang w:val="en-US" w:eastAsia="zh-CN" w:bidi="ar"/>
              </w:rPr>
              <w:fldChar w:fldCharType="end"/>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3B4A7">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工作方式：按照年度工作计划，对无照经营行为进行监督检查，依法依规进行处理。</w:t>
            </w:r>
          </w:p>
        </w:tc>
      </w:tr>
      <w:tr w14:paraId="3EFB8558">
        <w:tblPrEx>
          <w:tblCellMar>
            <w:top w:w="0" w:type="dxa"/>
            <w:left w:w="108" w:type="dxa"/>
            <w:bottom w:w="0" w:type="dxa"/>
            <w:right w:w="108" w:type="dxa"/>
          </w:tblCellMar>
        </w:tblPrEx>
        <w:trPr>
          <w:cantSplit/>
          <w:trHeight w:val="75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5CAD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AB438">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1430"/>
                  <wp:effectExtent l="0" t="0" r="0" b="0"/>
                  <wp:wrapNone/>
                  <wp:docPr id="2237" name="图片_1"/>
                  <wp:cNvGraphicFramePr/>
                  <a:graphic xmlns:a="http://schemas.openxmlformats.org/drawingml/2006/main">
                    <a:graphicData uri="http://schemas.openxmlformats.org/drawingml/2006/picture">
                      <pic:pic xmlns:pic="http://schemas.openxmlformats.org/drawingml/2006/picture">
                        <pic:nvPicPr>
                          <pic:cNvPr id="2237" name="图片_1"/>
                          <pic:cNvPicPr/>
                        </pic:nvPicPr>
                        <pic:blipFill>
                          <a:blip r:embed="rId6"/>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7620"/>
                  <wp:effectExtent l="0" t="0" r="0" b="0"/>
                  <wp:wrapNone/>
                  <wp:docPr id="2238" name="图片_1_SpCnt_1"/>
                  <wp:cNvGraphicFramePr/>
                  <a:graphic xmlns:a="http://schemas.openxmlformats.org/drawingml/2006/main">
                    <a:graphicData uri="http://schemas.openxmlformats.org/drawingml/2006/picture">
                      <pic:pic xmlns:pic="http://schemas.openxmlformats.org/drawingml/2006/picture">
                        <pic:nvPicPr>
                          <pic:cNvPr id="2238" name="图片_1_SpCnt_1"/>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2239" name="图片_1_SpCnt_2"/>
                  <wp:cNvGraphicFramePr/>
                  <a:graphic xmlns:a="http://schemas.openxmlformats.org/drawingml/2006/main">
                    <a:graphicData uri="http://schemas.openxmlformats.org/drawingml/2006/picture">
                      <pic:pic xmlns:pic="http://schemas.openxmlformats.org/drawingml/2006/picture">
                        <pic:nvPicPr>
                          <pic:cNvPr id="2239" name="图片_1_SpCnt_2"/>
                          <pic:cNvPicPr/>
                        </pic:nvPicPr>
                        <pic:blipFill>
                          <a:blip r:embed="rId8"/>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240" name="图片_1_SpCnt_3"/>
                  <wp:cNvGraphicFramePr/>
                  <a:graphic xmlns:a="http://schemas.openxmlformats.org/drawingml/2006/main">
                    <a:graphicData uri="http://schemas.openxmlformats.org/drawingml/2006/picture">
                      <pic:pic xmlns:pic="http://schemas.openxmlformats.org/drawingml/2006/picture">
                        <pic:nvPicPr>
                          <pic:cNvPr id="2240" name="图片_1_SpCnt_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2241" name="图片_1_SpCnt_4"/>
                  <wp:cNvGraphicFramePr/>
                  <a:graphic xmlns:a="http://schemas.openxmlformats.org/drawingml/2006/main">
                    <a:graphicData uri="http://schemas.openxmlformats.org/drawingml/2006/picture">
                      <pic:pic xmlns:pic="http://schemas.openxmlformats.org/drawingml/2006/picture">
                        <pic:nvPicPr>
                          <pic:cNvPr id="2241" name="图片_1_SpCnt_4"/>
                          <pic:cNvPicPr/>
                        </pic:nvPicPr>
                        <pic:blipFill>
                          <a:blip r:embed="rId7"/>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5875"/>
                  <wp:effectExtent l="0" t="0" r="0" b="0"/>
                  <wp:wrapNone/>
                  <wp:docPr id="2242" name="图片_1_SpCnt_5"/>
                  <wp:cNvGraphicFramePr/>
                  <a:graphic xmlns:a="http://schemas.openxmlformats.org/drawingml/2006/main">
                    <a:graphicData uri="http://schemas.openxmlformats.org/drawingml/2006/picture">
                      <pic:pic xmlns:pic="http://schemas.openxmlformats.org/drawingml/2006/picture">
                        <pic:nvPicPr>
                          <pic:cNvPr id="2242" name="图片_1_SpCnt_5"/>
                          <pic:cNvPicPr/>
                        </pic:nvPicPr>
                        <pic:blipFill>
                          <a:blip r:embed="rId11"/>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对价格违法行为的监管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5300">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工作方式：组织实施商品价格、服务价格以及国家机关、事业单位行政事业性收费的监管，开展价格违法行为宣传、提醒和告诫，负责价格和收费检查工作的业务指导。</w:t>
            </w:r>
          </w:p>
        </w:tc>
      </w:tr>
      <w:tr w14:paraId="42246084">
        <w:tblPrEx>
          <w:tblCellMar>
            <w:top w:w="0" w:type="dxa"/>
            <w:left w:w="108" w:type="dxa"/>
            <w:bottom w:w="0" w:type="dxa"/>
            <w:right w:w="108" w:type="dxa"/>
          </w:tblCellMar>
        </w:tblPrEx>
        <w:trPr>
          <w:cantSplit/>
          <w:trHeight w:val="12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278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827B5">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计量监管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CB3D">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工作方式：开展诚信计量宣传，推行法定计量单位使用，组织实施计量器具监督管理。</w:t>
            </w:r>
          </w:p>
        </w:tc>
      </w:tr>
      <w:tr w14:paraId="005C3918">
        <w:tblPrEx>
          <w:tblCellMar>
            <w:top w:w="0" w:type="dxa"/>
            <w:left w:w="108" w:type="dxa"/>
            <w:bottom w:w="0" w:type="dxa"/>
            <w:right w:w="108" w:type="dxa"/>
          </w:tblCellMar>
        </w:tblPrEx>
        <w:trPr>
          <w:cantSplit/>
          <w:trHeight w:val="6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508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403F">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在当地主要媒体上公告被吊销许可证照的生产经营者名单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F03AD">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工作方式：各办案机构办理案件中对食品生产经营者作出吊销许可证照的处罚决定的，食品生产许可证报食品科后向市局反馈进行吊销，食品经营许可证报送行政审批科进行吊销。</w:t>
            </w:r>
          </w:p>
        </w:tc>
      </w:tr>
      <w:tr w14:paraId="4A6207D5">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E446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4D88">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2243" name="图片_1_SpCnt_10"/>
                  <wp:cNvGraphicFramePr/>
                  <a:graphic xmlns:a="http://schemas.openxmlformats.org/drawingml/2006/main">
                    <a:graphicData uri="http://schemas.openxmlformats.org/drawingml/2006/picture">
                      <pic:pic xmlns:pic="http://schemas.openxmlformats.org/drawingml/2006/picture">
                        <pic:nvPicPr>
                          <pic:cNvPr id="2243" name="图片_1_SpCnt_10"/>
                          <pic:cNvPicPr/>
                        </pic:nvPicPr>
                        <pic:blipFill>
                          <a:blip r:embed="rId11"/>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2244" name="图片_1_SpCnt_11"/>
                  <wp:cNvGraphicFramePr/>
                  <a:graphic xmlns:a="http://schemas.openxmlformats.org/drawingml/2006/main">
                    <a:graphicData uri="http://schemas.openxmlformats.org/drawingml/2006/picture">
                      <pic:pic xmlns:pic="http://schemas.openxmlformats.org/drawingml/2006/picture">
                        <pic:nvPicPr>
                          <pic:cNvPr id="2244" name="图片_1_SpCnt_11"/>
                          <pic:cNvPicPr/>
                        </pic:nvPicPr>
                        <pic:blipFill>
                          <a:blip r:embed="rId11"/>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45" name="图片_1_SpCnt_12"/>
                  <wp:cNvGraphicFramePr/>
                  <a:graphic xmlns:a="http://schemas.openxmlformats.org/drawingml/2006/main">
                    <a:graphicData uri="http://schemas.openxmlformats.org/drawingml/2006/picture">
                      <pic:pic xmlns:pic="http://schemas.openxmlformats.org/drawingml/2006/picture">
                        <pic:nvPicPr>
                          <pic:cNvPr id="2245" name="图片_1_SpCnt_12"/>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2246" name="图片_1_SpCnt_13"/>
                  <wp:cNvGraphicFramePr/>
                  <a:graphic xmlns:a="http://schemas.openxmlformats.org/drawingml/2006/main">
                    <a:graphicData uri="http://schemas.openxmlformats.org/drawingml/2006/picture">
                      <pic:pic xmlns:pic="http://schemas.openxmlformats.org/drawingml/2006/picture">
                        <pic:nvPicPr>
                          <pic:cNvPr id="2246" name="图片_1_SpCnt_13"/>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1430"/>
                  <wp:effectExtent l="0" t="0" r="0" b="0"/>
                  <wp:wrapNone/>
                  <wp:docPr id="2247" name="图片_9"/>
                  <wp:cNvGraphicFramePr/>
                  <a:graphic xmlns:a="http://schemas.openxmlformats.org/drawingml/2006/main">
                    <a:graphicData uri="http://schemas.openxmlformats.org/drawingml/2006/picture">
                      <pic:pic xmlns:pic="http://schemas.openxmlformats.org/drawingml/2006/picture">
                        <pic:nvPicPr>
                          <pic:cNvPr id="2247" name="图片_9"/>
                          <pic:cNvPicPr/>
                        </pic:nvPicPr>
                        <pic:blipFill>
                          <a:blip r:embed="rId11"/>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2248" name="图片_1_SpCnt_14"/>
                  <wp:cNvGraphicFramePr/>
                  <a:graphic xmlns:a="http://schemas.openxmlformats.org/drawingml/2006/main">
                    <a:graphicData uri="http://schemas.openxmlformats.org/drawingml/2006/picture">
                      <pic:pic xmlns:pic="http://schemas.openxmlformats.org/drawingml/2006/picture">
                        <pic:nvPicPr>
                          <pic:cNvPr id="2248" name="图片_1_SpCnt_14"/>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8415"/>
                  <wp:effectExtent l="0" t="0" r="0" b="0"/>
                  <wp:wrapNone/>
                  <wp:docPr id="2249" name="图片_1_SpCnt_15"/>
                  <wp:cNvGraphicFramePr/>
                  <a:graphic xmlns:a="http://schemas.openxmlformats.org/drawingml/2006/main">
                    <a:graphicData uri="http://schemas.openxmlformats.org/drawingml/2006/picture">
                      <pic:pic xmlns:pic="http://schemas.openxmlformats.org/drawingml/2006/picture">
                        <pic:nvPicPr>
                          <pic:cNvPr id="2249" name="图片_1_SpCnt_1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250" name="图片_1_SpCnt_16"/>
                  <wp:cNvGraphicFramePr/>
                  <a:graphic xmlns:a="http://schemas.openxmlformats.org/drawingml/2006/main">
                    <a:graphicData uri="http://schemas.openxmlformats.org/drawingml/2006/picture">
                      <pic:pic xmlns:pic="http://schemas.openxmlformats.org/drawingml/2006/picture">
                        <pic:nvPicPr>
                          <pic:cNvPr id="2250" name="图片_1_SpCnt_1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51" name="图片_1_SpCnt_17"/>
                  <wp:cNvGraphicFramePr/>
                  <a:graphic xmlns:a="http://schemas.openxmlformats.org/drawingml/2006/main">
                    <a:graphicData uri="http://schemas.openxmlformats.org/drawingml/2006/picture">
                      <pic:pic xmlns:pic="http://schemas.openxmlformats.org/drawingml/2006/picture">
                        <pic:nvPicPr>
                          <pic:cNvPr id="2251" name="图片_1_SpCnt_17"/>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2252" name="图片_1_SpCnt_18"/>
                  <wp:cNvGraphicFramePr/>
                  <a:graphic xmlns:a="http://schemas.openxmlformats.org/drawingml/2006/main">
                    <a:graphicData uri="http://schemas.openxmlformats.org/drawingml/2006/picture">
                      <pic:pic xmlns:pic="http://schemas.openxmlformats.org/drawingml/2006/picture">
                        <pic:nvPicPr>
                          <pic:cNvPr id="2252" name="图片_1_SpCnt_18"/>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53" name="图片_1_SpCnt_19"/>
                  <wp:cNvGraphicFramePr/>
                  <a:graphic xmlns:a="http://schemas.openxmlformats.org/drawingml/2006/main">
                    <a:graphicData uri="http://schemas.openxmlformats.org/drawingml/2006/picture">
                      <pic:pic xmlns:pic="http://schemas.openxmlformats.org/drawingml/2006/picture">
                        <pic:nvPicPr>
                          <pic:cNvPr id="2253" name="图片_1_SpCnt_19"/>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2254" name="图片_1_SpCnt_20"/>
                  <wp:cNvGraphicFramePr/>
                  <a:graphic xmlns:a="http://schemas.openxmlformats.org/drawingml/2006/main">
                    <a:graphicData uri="http://schemas.openxmlformats.org/drawingml/2006/picture">
                      <pic:pic xmlns:pic="http://schemas.openxmlformats.org/drawingml/2006/picture">
                        <pic:nvPicPr>
                          <pic:cNvPr id="2254" name="图片_1_SpCnt_20"/>
                          <pic:cNvPicPr/>
                        </pic:nvPicPr>
                        <pic:blipFill>
                          <a:blip r:embed="rId12"/>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1430"/>
                  <wp:effectExtent l="0" t="0" r="0" b="0"/>
                  <wp:wrapNone/>
                  <wp:docPr id="2255" name="图片_1_SpCnt_21"/>
                  <wp:cNvGraphicFramePr/>
                  <a:graphic xmlns:a="http://schemas.openxmlformats.org/drawingml/2006/main">
                    <a:graphicData uri="http://schemas.openxmlformats.org/drawingml/2006/picture">
                      <pic:pic xmlns:pic="http://schemas.openxmlformats.org/drawingml/2006/picture">
                        <pic:nvPicPr>
                          <pic:cNvPr id="2255" name="图片_1_SpCnt_21"/>
                          <pic:cNvPicPr/>
                        </pic:nvPicPr>
                        <pic:blipFill>
                          <a:blip r:embed="rId11"/>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2256" name="图片_1_SpCnt_22"/>
                  <wp:cNvGraphicFramePr/>
                  <a:graphic xmlns:a="http://schemas.openxmlformats.org/drawingml/2006/main">
                    <a:graphicData uri="http://schemas.openxmlformats.org/drawingml/2006/picture">
                      <pic:pic xmlns:pic="http://schemas.openxmlformats.org/drawingml/2006/picture">
                        <pic:nvPicPr>
                          <pic:cNvPr id="2256" name="图片_1_SpCnt_2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257" name="图片_1_SpCnt_23"/>
                  <wp:cNvGraphicFramePr/>
                  <a:graphic xmlns:a="http://schemas.openxmlformats.org/drawingml/2006/main">
                    <a:graphicData uri="http://schemas.openxmlformats.org/drawingml/2006/picture">
                      <pic:pic xmlns:pic="http://schemas.openxmlformats.org/drawingml/2006/picture">
                        <pic:nvPicPr>
                          <pic:cNvPr id="2257" name="图片_1_SpCnt_2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7620"/>
                  <wp:effectExtent l="0" t="0" r="0" b="0"/>
                  <wp:wrapNone/>
                  <wp:docPr id="2258" name="图片_1_SpCnt_24"/>
                  <wp:cNvGraphicFramePr/>
                  <a:graphic xmlns:a="http://schemas.openxmlformats.org/drawingml/2006/main">
                    <a:graphicData uri="http://schemas.openxmlformats.org/drawingml/2006/picture">
                      <pic:pic xmlns:pic="http://schemas.openxmlformats.org/drawingml/2006/picture">
                        <pic:nvPicPr>
                          <pic:cNvPr id="2258" name="图片_1_SpCnt_24"/>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2259" name="图片_1_SpCnt_25"/>
                  <wp:cNvGraphicFramePr/>
                  <a:graphic xmlns:a="http://schemas.openxmlformats.org/drawingml/2006/main">
                    <a:graphicData uri="http://schemas.openxmlformats.org/drawingml/2006/picture">
                      <pic:pic xmlns:pic="http://schemas.openxmlformats.org/drawingml/2006/picture">
                        <pic:nvPicPr>
                          <pic:cNvPr id="2259" name="图片_1_SpCnt_25"/>
                          <pic:cNvPicPr/>
                        </pic:nvPicPr>
                        <pic:blipFill>
                          <a:blip r:embed="rId10"/>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2260" name="图片_1_SpCnt_26"/>
                  <wp:cNvGraphicFramePr/>
                  <a:graphic xmlns:a="http://schemas.openxmlformats.org/drawingml/2006/main">
                    <a:graphicData uri="http://schemas.openxmlformats.org/drawingml/2006/picture">
                      <pic:pic xmlns:pic="http://schemas.openxmlformats.org/drawingml/2006/picture">
                        <pic:nvPicPr>
                          <pic:cNvPr id="2260" name="图片_1_SpCnt_26"/>
                          <pic:cNvPicPr/>
                        </pic:nvPicPr>
                        <pic:blipFill>
                          <a:blip r:embed="rId12"/>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2261" name="图片_1_SpCnt_27"/>
                  <wp:cNvGraphicFramePr/>
                  <a:graphic xmlns:a="http://schemas.openxmlformats.org/drawingml/2006/main">
                    <a:graphicData uri="http://schemas.openxmlformats.org/drawingml/2006/picture">
                      <pic:pic xmlns:pic="http://schemas.openxmlformats.org/drawingml/2006/picture">
                        <pic:nvPicPr>
                          <pic:cNvPr id="2261" name="图片_1_SpCnt_2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1430"/>
                  <wp:effectExtent l="0" t="0" r="0" b="0"/>
                  <wp:wrapNone/>
                  <wp:docPr id="2262" name="图片_1_SpCnt_28"/>
                  <wp:cNvGraphicFramePr/>
                  <a:graphic xmlns:a="http://schemas.openxmlformats.org/drawingml/2006/main">
                    <a:graphicData uri="http://schemas.openxmlformats.org/drawingml/2006/picture">
                      <pic:pic xmlns:pic="http://schemas.openxmlformats.org/drawingml/2006/picture">
                        <pic:nvPicPr>
                          <pic:cNvPr id="2262" name="图片_1_SpCnt_28"/>
                          <pic:cNvPicPr/>
                        </pic:nvPicPr>
                        <pic:blipFill>
                          <a:blip r:embed="rId11"/>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2263" name="图片_1_SpCnt_29"/>
                  <wp:cNvGraphicFramePr/>
                  <a:graphic xmlns:a="http://schemas.openxmlformats.org/drawingml/2006/main">
                    <a:graphicData uri="http://schemas.openxmlformats.org/drawingml/2006/picture">
                      <pic:pic xmlns:pic="http://schemas.openxmlformats.org/drawingml/2006/picture">
                        <pic:nvPicPr>
                          <pic:cNvPr id="2263" name="图片_1_SpCnt_29"/>
                          <pic:cNvPicPr/>
                        </pic:nvPicPr>
                        <pic:blipFill>
                          <a:blip r:embed="rId11"/>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3335"/>
                  <wp:effectExtent l="0" t="0" r="0" b="0"/>
                  <wp:wrapNone/>
                  <wp:docPr id="2264" name="图片_1_SpCnt_30"/>
                  <wp:cNvGraphicFramePr/>
                  <a:graphic xmlns:a="http://schemas.openxmlformats.org/drawingml/2006/main">
                    <a:graphicData uri="http://schemas.openxmlformats.org/drawingml/2006/picture">
                      <pic:pic xmlns:pic="http://schemas.openxmlformats.org/drawingml/2006/picture">
                        <pic:nvPicPr>
                          <pic:cNvPr id="2264" name="图片_1_SpCnt_30"/>
                          <pic:cNvPicPr/>
                        </pic:nvPicPr>
                        <pic:blipFill>
                          <a:blip r:embed="rId11"/>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2265" name="图片_1_SpCnt_31"/>
                  <wp:cNvGraphicFramePr/>
                  <a:graphic xmlns:a="http://schemas.openxmlformats.org/drawingml/2006/main">
                    <a:graphicData uri="http://schemas.openxmlformats.org/drawingml/2006/picture">
                      <pic:pic xmlns:pic="http://schemas.openxmlformats.org/drawingml/2006/picture">
                        <pic:nvPicPr>
                          <pic:cNvPr id="2265" name="图片_1_SpCnt_31"/>
                          <pic:cNvPicPr/>
                        </pic:nvPicPr>
                        <pic:blipFill>
                          <a:blip r:embed="rId11"/>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8415"/>
                  <wp:effectExtent l="0" t="0" r="0" b="0"/>
                  <wp:wrapNone/>
                  <wp:docPr id="2266" name="图片_1_SpCnt_32"/>
                  <wp:cNvGraphicFramePr/>
                  <a:graphic xmlns:a="http://schemas.openxmlformats.org/drawingml/2006/main">
                    <a:graphicData uri="http://schemas.openxmlformats.org/drawingml/2006/picture">
                      <pic:pic xmlns:pic="http://schemas.openxmlformats.org/drawingml/2006/picture">
                        <pic:nvPicPr>
                          <pic:cNvPr id="2266" name="图片_1_SpCnt_32"/>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267" name="图片_1_SpCnt_33"/>
                  <wp:cNvGraphicFramePr/>
                  <a:graphic xmlns:a="http://schemas.openxmlformats.org/drawingml/2006/main">
                    <a:graphicData uri="http://schemas.openxmlformats.org/drawingml/2006/picture">
                      <pic:pic xmlns:pic="http://schemas.openxmlformats.org/drawingml/2006/picture">
                        <pic:nvPicPr>
                          <pic:cNvPr id="2267" name="图片_1_SpCnt_3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对药品、医疗器械、化妆品经营和使用环节的监督管理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76FB">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工作方式：开展对辖区内药械化经营和使用单位的日常监督检查与专项整治、抽样检查等活动，不定期开展药械化相关领域的普法宣传工作，督促指导经营主体严格依法经营。</w:t>
            </w:r>
          </w:p>
        </w:tc>
      </w:tr>
      <w:tr w14:paraId="2364488A">
        <w:tblPrEx>
          <w:tblCellMar>
            <w:top w:w="0" w:type="dxa"/>
            <w:left w:w="108" w:type="dxa"/>
            <w:bottom w:w="0" w:type="dxa"/>
            <w:right w:w="108" w:type="dxa"/>
          </w:tblCellMar>
        </w:tblPrEx>
        <w:trPr>
          <w:cantSplit/>
          <w:trHeight w:val="6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5546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D15D1">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0160"/>
                  <wp:effectExtent l="0" t="0" r="0" b="0"/>
                  <wp:wrapNone/>
                  <wp:docPr id="2268" name="图片_1_SpCnt_50"/>
                  <wp:cNvGraphicFramePr/>
                  <a:graphic xmlns:a="http://schemas.openxmlformats.org/drawingml/2006/main">
                    <a:graphicData uri="http://schemas.openxmlformats.org/drawingml/2006/picture">
                      <pic:pic xmlns:pic="http://schemas.openxmlformats.org/drawingml/2006/picture">
                        <pic:nvPicPr>
                          <pic:cNvPr id="2268" name="图片_1_SpCnt_5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8415"/>
                  <wp:effectExtent l="0" t="0" r="0" b="0"/>
                  <wp:wrapNone/>
                  <wp:docPr id="2269" name="图片_1_SpCnt_51"/>
                  <wp:cNvGraphicFramePr/>
                  <a:graphic xmlns:a="http://schemas.openxmlformats.org/drawingml/2006/main">
                    <a:graphicData uri="http://schemas.openxmlformats.org/drawingml/2006/picture">
                      <pic:pic xmlns:pic="http://schemas.openxmlformats.org/drawingml/2006/picture">
                        <pic:nvPicPr>
                          <pic:cNvPr id="2269" name="图片_1_SpCnt_51"/>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270" name="图片_1_SpCnt_52"/>
                  <wp:cNvGraphicFramePr/>
                  <a:graphic xmlns:a="http://schemas.openxmlformats.org/drawingml/2006/main">
                    <a:graphicData uri="http://schemas.openxmlformats.org/drawingml/2006/picture">
                      <pic:pic xmlns:pic="http://schemas.openxmlformats.org/drawingml/2006/picture">
                        <pic:nvPicPr>
                          <pic:cNvPr id="2270" name="图片_1_SpCnt_52"/>
                          <pic:cNvPicPr/>
                        </pic:nvPicPr>
                        <pic:blipFill>
                          <a:blip r:embed="rId10"/>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对消费品质量合格率的考核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D5E8">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落实党中央精简优化基层考核有关要求，不再开展此项工作。</w:t>
            </w:r>
          </w:p>
        </w:tc>
      </w:tr>
    </w:tbl>
    <w:p w14:paraId="7E33C668">
      <w:pPr>
        <w:rPr>
          <w:rFonts w:hint="default" w:ascii="Times New Roman" w:hAnsi="Times New Roman" w:cs="Times New Roman" w:eastAsiaTheme="minorEastAsia"/>
          <w:lang w:eastAsia="zh-CN"/>
        </w:rPr>
      </w:pPr>
    </w:p>
    <w:p w14:paraId="7A77F1E4">
      <w:pPr>
        <w:rPr>
          <w:rFonts w:hint="default"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公文仿宋">
    <w:panose1 w:val="02000500000000000000"/>
    <w:charset w:val="86"/>
    <w:family w:val="auto"/>
    <w:pitch w:val="default"/>
    <w:sig w:usb0="A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公文黑体">
    <w:panose1 w:val="02000500000000000000"/>
    <w:charset w:val="86"/>
    <w:family w:val="auto"/>
    <w:pitch w:val="default"/>
    <w:sig w:usb0="A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70B16">
    <w:pPr>
      <w:pStyle w:val="9"/>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8E99E98">
                          <w:pPr>
                            <w:pStyle w:val="9"/>
                            <w:rPr>
                              <w:rStyle w:val="15"/>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8E99E98">
                    <w:pPr>
                      <w:pStyle w:val="9"/>
                      <w:rPr>
                        <w:rStyle w:val="15"/>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71E8A">
    <w:pPr>
      <w:pStyle w:val="9"/>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11"/>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13654"/>
    <w:rsid w:val="000210BA"/>
    <w:rsid w:val="000375D5"/>
    <w:rsid w:val="0005785C"/>
    <w:rsid w:val="000721F3"/>
    <w:rsid w:val="0008314E"/>
    <w:rsid w:val="000A3209"/>
    <w:rsid w:val="000A7693"/>
    <w:rsid w:val="000D176F"/>
    <w:rsid w:val="00103897"/>
    <w:rsid w:val="001234A4"/>
    <w:rsid w:val="00130BD7"/>
    <w:rsid w:val="0014273D"/>
    <w:rsid w:val="00147D16"/>
    <w:rsid w:val="001575AA"/>
    <w:rsid w:val="001810B0"/>
    <w:rsid w:val="00181AB4"/>
    <w:rsid w:val="00185312"/>
    <w:rsid w:val="001916F2"/>
    <w:rsid w:val="001F251B"/>
    <w:rsid w:val="001F3E9F"/>
    <w:rsid w:val="001F4027"/>
    <w:rsid w:val="00205B9E"/>
    <w:rsid w:val="0021240C"/>
    <w:rsid w:val="00245B02"/>
    <w:rsid w:val="00266573"/>
    <w:rsid w:val="002706D0"/>
    <w:rsid w:val="0027432A"/>
    <w:rsid w:val="00277776"/>
    <w:rsid w:val="00283325"/>
    <w:rsid w:val="002849A7"/>
    <w:rsid w:val="002B1C9B"/>
    <w:rsid w:val="002C7D57"/>
    <w:rsid w:val="00323128"/>
    <w:rsid w:val="00332498"/>
    <w:rsid w:val="00384253"/>
    <w:rsid w:val="003A2345"/>
    <w:rsid w:val="003A4EAB"/>
    <w:rsid w:val="003A67C0"/>
    <w:rsid w:val="003B25EE"/>
    <w:rsid w:val="003B6491"/>
    <w:rsid w:val="004022B2"/>
    <w:rsid w:val="00436A05"/>
    <w:rsid w:val="0045146E"/>
    <w:rsid w:val="00454E9C"/>
    <w:rsid w:val="00496286"/>
    <w:rsid w:val="004C1612"/>
    <w:rsid w:val="004C3B4B"/>
    <w:rsid w:val="004F026B"/>
    <w:rsid w:val="00556418"/>
    <w:rsid w:val="0055782E"/>
    <w:rsid w:val="005B6ECB"/>
    <w:rsid w:val="005C292F"/>
    <w:rsid w:val="005E185A"/>
    <w:rsid w:val="005F3046"/>
    <w:rsid w:val="005F4A95"/>
    <w:rsid w:val="00621683"/>
    <w:rsid w:val="00624E87"/>
    <w:rsid w:val="0062674A"/>
    <w:rsid w:val="00635096"/>
    <w:rsid w:val="006453B6"/>
    <w:rsid w:val="00657042"/>
    <w:rsid w:val="00670175"/>
    <w:rsid w:val="00691C2F"/>
    <w:rsid w:val="00693EEA"/>
    <w:rsid w:val="006E6CDB"/>
    <w:rsid w:val="006F07E4"/>
    <w:rsid w:val="00735E5D"/>
    <w:rsid w:val="007364DC"/>
    <w:rsid w:val="00745330"/>
    <w:rsid w:val="00757D6B"/>
    <w:rsid w:val="0076256B"/>
    <w:rsid w:val="00764690"/>
    <w:rsid w:val="007A235A"/>
    <w:rsid w:val="007C5C5A"/>
    <w:rsid w:val="007E3695"/>
    <w:rsid w:val="0080494D"/>
    <w:rsid w:val="00816543"/>
    <w:rsid w:val="00821188"/>
    <w:rsid w:val="00846E5D"/>
    <w:rsid w:val="008C6462"/>
    <w:rsid w:val="008D168C"/>
    <w:rsid w:val="00944BE5"/>
    <w:rsid w:val="0099530A"/>
    <w:rsid w:val="00997B94"/>
    <w:rsid w:val="009B6C9F"/>
    <w:rsid w:val="009B6F21"/>
    <w:rsid w:val="009B71A6"/>
    <w:rsid w:val="009D1B6F"/>
    <w:rsid w:val="009D61F3"/>
    <w:rsid w:val="009F1C84"/>
    <w:rsid w:val="00A44440"/>
    <w:rsid w:val="00A96F2A"/>
    <w:rsid w:val="00AE3464"/>
    <w:rsid w:val="00AF196D"/>
    <w:rsid w:val="00AF4537"/>
    <w:rsid w:val="00AF79DD"/>
    <w:rsid w:val="00B04B4F"/>
    <w:rsid w:val="00B226F7"/>
    <w:rsid w:val="00B356FE"/>
    <w:rsid w:val="00B376AB"/>
    <w:rsid w:val="00B60217"/>
    <w:rsid w:val="00B745F5"/>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15679D0"/>
    <w:rsid w:val="015E6884"/>
    <w:rsid w:val="01A7022B"/>
    <w:rsid w:val="01CF1530"/>
    <w:rsid w:val="01E50D53"/>
    <w:rsid w:val="01EC32DA"/>
    <w:rsid w:val="03843986"/>
    <w:rsid w:val="043F474B"/>
    <w:rsid w:val="048B542F"/>
    <w:rsid w:val="04AE18D1"/>
    <w:rsid w:val="0523721F"/>
    <w:rsid w:val="05D11D1B"/>
    <w:rsid w:val="06287461"/>
    <w:rsid w:val="06F85085"/>
    <w:rsid w:val="070B300A"/>
    <w:rsid w:val="0765096C"/>
    <w:rsid w:val="07922637"/>
    <w:rsid w:val="08062409"/>
    <w:rsid w:val="082D0D5E"/>
    <w:rsid w:val="08F33D56"/>
    <w:rsid w:val="097B7BCB"/>
    <w:rsid w:val="098D7D07"/>
    <w:rsid w:val="0991559A"/>
    <w:rsid w:val="09AA3D8D"/>
    <w:rsid w:val="0A764C3F"/>
    <w:rsid w:val="0AB47515"/>
    <w:rsid w:val="0AE93662"/>
    <w:rsid w:val="0B865355"/>
    <w:rsid w:val="0BBC5392"/>
    <w:rsid w:val="0BD75BB1"/>
    <w:rsid w:val="0BDB744F"/>
    <w:rsid w:val="0CC71781"/>
    <w:rsid w:val="0D984ECC"/>
    <w:rsid w:val="0DE057BE"/>
    <w:rsid w:val="0DE620DB"/>
    <w:rsid w:val="0E721BC1"/>
    <w:rsid w:val="0F2E73AF"/>
    <w:rsid w:val="0F5F2145"/>
    <w:rsid w:val="0F6B6D3C"/>
    <w:rsid w:val="0F706100"/>
    <w:rsid w:val="10142F30"/>
    <w:rsid w:val="11874F91"/>
    <w:rsid w:val="11E42DD6"/>
    <w:rsid w:val="120174E4"/>
    <w:rsid w:val="12040D82"/>
    <w:rsid w:val="122D652B"/>
    <w:rsid w:val="12307DC9"/>
    <w:rsid w:val="124A70DD"/>
    <w:rsid w:val="126D370B"/>
    <w:rsid w:val="12FA0035"/>
    <w:rsid w:val="14C63DAE"/>
    <w:rsid w:val="14F74BCE"/>
    <w:rsid w:val="14FE5F5C"/>
    <w:rsid w:val="15267261"/>
    <w:rsid w:val="15877D00"/>
    <w:rsid w:val="16DA6555"/>
    <w:rsid w:val="17345C65"/>
    <w:rsid w:val="186B3909"/>
    <w:rsid w:val="18725A29"/>
    <w:rsid w:val="193C29C9"/>
    <w:rsid w:val="194734D4"/>
    <w:rsid w:val="19BD0194"/>
    <w:rsid w:val="19DB7471"/>
    <w:rsid w:val="1A951111"/>
    <w:rsid w:val="1BF12377"/>
    <w:rsid w:val="1C026332"/>
    <w:rsid w:val="1C2968EF"/>
    <w:rsid w:val="1C9537AE"/>
    <w:rsid w:val="1D61177E"/>
    <w:rsid w:val="1D6F5C49"/>
    <w:rsid w:val="1DD737EE"/>
    <w:rsid w:val="1DEB2C67"/>
    <w:rsid w:val="1E171E3D"/>
    <w:rsid w:val="1E2E78D9"/>
    <w:rsid w:val="1E5B61CE"/>
    <w:rsid w:val="1E851F92"/>
    <w:rsid w:val="1E9F255E"/>
    <w:rsid w:val="1ED00CA9"/>
    <w:rsid w:val="1F777037"/>
    <w:rsid w:val="1FBF2370"/>
    <w:rsid w:val="20C22534"/>
    <w:rsid w:val="211865F8"/>
    <w:rsid w:val="21573B5A"/>
    <w:rsid w:val="21BE2CFB"/>
    <w:rsid w:val="21BE719F"/>
    <w:rsid w:val="22186564"/>
    <w:rsid w:val="223E5BEA"/>
    <w:rsid w:val="22CE51C0"/>
    <w:rsid w:val="236B0C61"/>
    <w:rsid w:val="238E494F"/>
    <w:rsid w:val="23922691"/>
    <w:rsid w:val="23B40CF0"/>
    <w:rsid w:val="24AD7057"/>
    <w:rsid w:val="24C525F3"/>
    <w:rsid w:val="24ED119F"/>
    <w:rsid w:val="24F133E8"/>
    <w:rsid w:val="2547125A"/>
    <w:rsid w:val="26B30D08"/>
    <w:rsid w:val="26CA0394"/>
    <w:rsid w:val="27C154A3"/>
    <w:rsid w:val="27DC212D"/>
    <w:rsid w:val="294E0E09"/>
    <w:rsid w:val="29B669AE"/>
    <w:rsid w:val="29B67455"/>
    <w:rsid w:val="29CA4207"/>
    <w:rsid w:val="29D357B2"/>
    <w:rsid w:val="2A3D2C2B"/>
    <w:rsid w:val="2A7511F1"/>
    <w:rsid w:val="2AD215C5"/>
    <w:rsid w:val="2B2067D5"/>
    <w:rsid w:val="2B471FB3"/>
    <w:rsid w:val="2B522706"/>
    <w:rsid w:val="2BBD2276"/>
    <w:rsid w:val="2C302A48"/>
    <w:rsid w:val="2C475FE3"/>
    <w:rsid w:val="2C9254B0"/>
    <w:rsid w:val="2D03015C"/>
    <w:rsid w:val="2D083891"/>
    <w:rsid w:val="2DBC5704"/>
    <w:rsid w:val="2E1A575D"/>
    <w:rsid w:val="2E271C28"/>
    <w:rsid w:val="2E36630F"/>
    <w:rsid w:val="2E552D11"/>
    <w:rsid w:val="2F1E74CF"/>
    <w:rsid w:val="2F9B28CE"/>
    <w:rsid w:val="30306947"/>
    <w:rsid w:val="307D0225"/>
    <w:rsid w:val="30BD7341"/>
    <w:rsid w:val="30F22F8B"/>
    <w:rsid w:val="324711D1"/>
    <w:rsid w:val="32C959A4"/>
    <w:rsid w:val="32FD564D"/>
    <w:rsid w:val="331C0D3B"/>
    <w:rsid w:val="337B218B"/>
    <w:rsid w:val="339A10EE"/>
    <w:rsid w:val="340C1C52"/>
    <w:rsid w:val="350607E9"/>
    <w:rsid w:val="350D7ADD"/>
    <w:rsid w:val="35E7745C"/>
    <w:rsid w:val="364C66D0"/>
    <w:rsid w:val="36820344"/>
    <w:rsid w:val="36B67FED"/>
    <w:rsid w:val="36BB5604"/>
    <w:rsid w:val="37307DA0"/>
    <w:rsid w:val="37537F32"/>
    <w:rsid w:val="37CF5A51"/>
    <w:rsid w:val="381E22EE"/>
    <w:rsid w:val="382E1885"/>
    <w:rsid w:val="387E2B20"/>
    <w:rsid w:val="391F41F8"/>
    <w:rsid w:val="399D5494"/>
    <w:rsid w:val="3A257964"/>
    <w:rsid w:val="3B0A6B5A"/>
    <w:rsid w:val="3B8B1A48"/>
    <w:rsid w:val="3D4A7E6B"/>
    <w:rsid w:val="3DF54C12"/>
    <w:rsid w:val="3E4251B6"/>
    <w:rsid w:val="3E6E3F32"/>
    <w:rsid w:val="3EF01BBB"/>
    <w:rsid w:val="3EFC2C5D"/>
    <w:rsid w:val="404C551E"/>
    <w:rsid w:val="407056B1"/>
    <w:rsid w:val="40F24318"/>
    <w:rsid w:val="41272213"/>
    <w:rsid w:val="41760725"/>
    <w:rsid w:val="418A09F4"/>
    <w:rsid w:val="422864FB"/>
    <w:rsid w:val="4251506E"/>
    <w:rsid w:val="429C7A75"/>
    <w:rsid w:val="43366823"/>
    <w:rsid w:val="433A3D54"/>
    <w:rsid w:val="433B01F8"/>
    <w:rsid w:val="44021DD3"/>
    <w:rsid w:val="440E3FBE"/>
    <w:rsid w:val="44305883"/>
    <w:rsid w:val="44BF65D5"/>
    <w:rsid w:val="451B0DF5"/>
    <w:rsid w:val="466E4440"/>
    <w:rsid w:val="46E44703"/>
    <w:rsid w:val="47996363"/>
    <w:rsid w:val="47D9637A"/>
    <w:rsid w:val="47E1754E"/>
    <w:rsid w:val="480F2E5A"/>
    <w:rsid w:val="48981C49"/>
    <w:rsid w:val="48DB79DF"/>
    <w:rsid w:val="49393DBC"/>
    <w:rsid w:val="496B2EB9"/>
    <w:rsid w:val="4ABC5500"/>
    <w:rsid w:val="4AE61B72"/>
    <w:rsid w:val="4B0C4228"/>
    <w:rsid w:val="4BAA1EDB"/>
    <w:rsid w:val="4BCB40E3"/>
    <w:rsid w:val="4C286E40"/>
    <w:rsid w:val="4C8A18A8"/>
    <w:rsid w:val="4C8A7AFA"/>
    <w:rsid w:val="4D203FBB"/>
    <w:rsid w:val="4D8F0D50"/>
    <w:rsid w:val="4E676345"/>
    <w:rsid w:val="4ECC5CC5"/>
    <w:rsid w:val="4ED46203"/>
    <w:rsid w:val="4F2646AE"/>
    <w:rsid w:val="4F696D5A"/>
    <w:rsid w:val="4FB70B5C"/>
    <w:rsid w:val="50083210"/>
    <w:rsid w:val="502D5E15"/>
    <w:rsid w:val="5043693E"/>
    <w:rsid w:val="51CE2237"/>
    <w:rsid w:val="52100AA2"/>
    <w:rsid w:val="5244074B"/>
    <w:rsid w:val="528B637A"/>
    <w:rsid w:val="529447FF"/>
    <w:rsid w:val="52C05DC7"/>
    <w:rsid w:val="53E75832"/>
    <w:rsid w:val="53FF492A"/>
    <w:rsid w:val="54352A41"/>
    <w:rsid w:val="54535FBC"/>
    <w:rsid w:val="546033B7"/>
    <w:rsid w:val="54B77BA4"/>
    <w:rsid w:val="54B90071"/>
    <w:rsid w:val="54B95421"/>
    <w:rsid w:val="5552317F"/>
    <w:rsid w:val="55AC288F"/>
    <w:rsid w:val="56FC3250"/>
    <w:rsid w:val="57610464"/>
    <w:rsid w:val="576D42A0"/>
    <w:rsid w:val="57720888"/>
    <w:rsid w:val="579D6934"/>
    <w:rsid w:val="57BD6FD6"/>
    <w:rsid w:val="58175BA8"/>
    <w:rsid w:val="590B1FC3"/>
    <w:rsid w:val="59401C6C"/>
    <w:rsid w:val="5B49517C"/>
    <w:rsid w:val="5C0C22DA"/>
    <w:rsid w:val="5C1E200D"/>
    <w:rsid w:val="5C5477DD"/>
    <w:rsid w:val="5C5717A5"/>
    <w:rsid w:val="5C6A5A77"/>
    <w:rsid w:val="5C761E49"/>
    <w:rsid w:val="5CC870D4"/>
    <w:rsid w:val="5DE66B5A"/>
    <w:rsid w:val="5E9640F1"/>
    <w:rsid w:val="5E9812C6"/>
    <w:rsid w:val="5ED115B9"/>
    <w:rsid w:val="5EFF1C82"/>
    <w:rsid w:val="5F025C16"/>
    <w:rsid w:val="5F092B01"/>
    <w:rsid w:val="6065020A"/>
    <w:rsid w:val="60805977"/>
    <w:rsid w:val="60A70823"/>
    <w:rsid w:val="60AE1BB1"/>
    <w:rsid w:val="613D57C0"/>
    <w:rsid w:val="61A46B11"/>
    <w:rsid w:val="61C62F2B"/>
    <w:rsid w:val="61D76EE6"/>
    <w:rsid w:val="6201650D"/>
    <w:rsid w:val="6291178B"/>
    <w:rsid w:val="62C236F2"/>
    <w:rsid w:val="62ED5028"/>
    <w:rsid w:val="633640E0"/>
    <w:rsid w:val="63A70B3A"/>
    <w:rsid w:val="63B53257"/>
    <w:rsid w:val="63FC2C34"/>
    <w:rsid w:val="64BE613B"/>
    <w:rsid w:val="64BF2D6E"/>
    <w:rsid w:val="64FD6C64"/>
    <w:rsid w:val="653308D7"/>
    <w:rsid w:val="6544413E"/>
    <w:rsid w:val="65FA3FEB"/>
    <w:rsid w:val="661D2F59"/>
    <w:rsid w:val="663F641D"/>
    <w:rsid w:val="674138B1"/>
    <w:rsid w:val="67655D81"/>
    <w:rsid w:val="6804655B"/>
    <w:rsid w:val="682B3AE8"/>
    <w:rsid w:val="68386205"/>
    <w:rsid w:val="6841330B"/>
    <w:rsid w:val="688F4E56"/>
    <w:rsid w:val="68DA62BB"/>
    <w:rsid w:val="69537CDA"/>
    <w:rsid w:val="697026B9"/>
    <w:rsid w:val="69B44ABB"/>
    <w:rsid w:val="6A723C50"/>
    <w:rsid w:val="6ABB4E87"/>
    <w:rsid w:val="6B5275DD"/>
    <w:rsid w:val="6C3D203B"/>
    <w:rsid w:val="6C6C18DE"/>
    <w:rsid w:val="6CE95D1F"/>
    <w:rsid w:val="6D19729F"/>
    <w:rsid w:val="6D5E495F"/>
    <w:rsid w:val="6D9640F9"/>
    <w:rsid w:val="6DB66549"/>
    <w:rsid w:val="6DD6278C"/>
    <w:rsid w:val="6E5528A7"/>
    <w:rsid w:val="6E66587A"/>
    <w:rsid w:val="6E69348B"/>
    <w:rsid w:val="6ED76777"/>
    <w:rsid w:val="6F906E90"/>
    <w:rsid w:val="719529C0"/>
    <w:rsid w:val="72135D18"/>
    <w:rsid w:val="725D6F93"/>
    <w:rsid w:val="72811D90"/>
    <w:rsid w:val="73783823"/>
    <w:rsid w:val="739015EB"/>
    <w:rsid w:val="73C3551C"/>
    <w:rsid w:val="74BF5CE3"/>
    <w:rsid w:val="752C5111"/>
    <w:rsid w:val="752C70F1"/>
    <w:rsid w:val="7548217D"/>
    <w:rsid w:val="766528BB"/>
    <w:rsid w:val="76932F2A"/>
    <w:rsid w:val="76DA163F"/>
    <w:rsid w:val="76FF4446"/>
    <w:rsid w:val="771656D4"/>
    <w:rsid w:val="77480369"/>
    <w:rsid w:val="776B6BD0"/>
    <w:rsid w:val="777728A5"/>
    <w:rsid w:val="78BF0CEF"/>
    <w:rsid w:val="78C0110E"/>
    <w:rsid w:val="799D05BD"/>
    <w:rsid w:val="7A1E2495"/>
    <w:rsid w:val="7A4A24F3"/>
    <w:rsid w:val="7AB4796D"/>
    <w:rsid w:val="7B0F7299"/>
    <w:rsid w:val="7BCC7015"/>
    <w:rsid w:val="7C3F3252"/>
    <w:rsid w:val="7C8021FC"/>
    <w:rsid w:val="7CB023B6"/>
    <w:rsid w:val="7CC04CEF"/>
    <w:rsid w:val="7CFE75C5"/>
    <w:rsid w:val="7D5D253D"/>
    <w:rsid w:val="7D60281D"/>
    <w:rsid w:val="7D6E23F9"/>
    <w:rsid w:val="7D8164CE"/>
    <w:rsid w:val="7E2272E3"/>
    <w:rsid w:val="7F1135E0"/>
    <w:rsid w:val="7F3217A8"/>
    <w:rsid w:val="7F7818B1"/>
    <w:rsid w:val="7F897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7"/>
    <w:qFormat/>
    <w:uiPriority w:val="0"/>
    <w:pPr>
      <w:spacing w:before="240" w:after="60"/>
      <w:jc w:val="center"/>
      <w:outlineLvl w:val="0"/>
    </w:pPr>
    <w:rPr>
      <w:b/>
      <w:sz w:val="32"/>
    </w:rPr>
  </w:style>
  <w:style w:type="paragraph" w:styleId="4">
    <w:name w:val="Normal Indent"/>
    <w:basedOn w:val="1"/>
    <w:next w:val="1"/>
    <w:qFormat/>
    <w:uiPriority w:val="0"/>
    <w:pPr>
      <w:ind w:firstLine="420" w:firstLineChars="200"/>
    </w:pPr>
    <w:rPr>
      <w:rFonts w:ascii="Times New Roman" w:hAnsi="Times New Roman" w:eastAsia="仿宋"/>
    </w:rPr>
  </w:style>
  <w:style w:type="paragraph" w:styleId="5">
    <w:name w:val="Body Text"/>
    <w:basedOn w:val="1"/>
    <w:link w:val="18"/>
    <w:semiHidden/>
    <w:qFormat/>
    <w:uiPriority w:val="0"/>
  </w:style>
  <w:style w:type="paragraph" w:styleId="6">
    <w:name w:val="Body Text Indent"/>
    <w:basedOn w:val="1"/>
    <w:next w:val="1"/>
    <w:qFormat/>
    <w:uiPriority w:val="0"/>
    <w:pPr>
      <w:spacing w:after="120"/>
      <w:ind w:left="420" w:leftChars="200"/>
    </w:pPr>
    <w:rPr>
      <w:rFonts w:ascii="华文仿宋" w:hAnsi="华文仿宋" w:eastAsia="华文仿宋"/>
    </w:rPr>
  </w:style>
  <w:style w:type="paragraph" w:styleId="7">
    <w:name w:val="toc 3"/>
    <w:basedOn w:val="1"/>
    <w:next w:val="1"/>
    <w:autoRedefine/>
    <w:unhideWhenUsed/>
    <w:qFormat/>
    <w:uiPriority w:val="39"/>
    <w:pPr>
      <w:kinsoku/>
      <w:autoSpaceDE/>
      <w:autoSpaceDN/>
      <w:adjustRightInd/>
      <w:snapToGrid/>
      <w:spacing w:after="100" w:line="259" w:lineRule="auto"/>
      <w:ind w:left="440"/>
      <w:textAlignment w:val="auto"/>
    </w:pPr>
    <w:rPr>
      <w:rFonts w:cs="Times New Roman" w:asciiTheme="minorHAnsi" w:hAnsiTheme="minorHAnsi" w:eastAsiaTheme="minorEastAsia"/>
      <w:snapToGrid/>
      <w:color w:val="auto"/>
      <w:sz w:val="22"/>
      <w:szCs w:val="22"/>
      <w:lang w:eastAsia="zh-CN"/>
    </w:rPr>
  </w:style>
  <w:style w:type="paragraph" w:styleId="8">
    <w:name w:val="Plain Text"/>
    <w:basedOn w:val="1"/>
    <w:qFormat/>
    <w:uiPriority w:val="0"/>
    <w:rPr>
      <w:rFonts w:ascii="宋体" w:hAnsi="Courier New"/>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autoRedefine/>
    <w:unhideWhenUsed/>
    <w:qFormat/>
    <w:uiPriority w:val="39"/>
    <w:pPr>
      <w:numPr>
        <w:ilvl w:val="0"/>
        <w:numId w:val="1"/>
      </w:numPr>
    </w:pPr>
    <w:rPr>
      <w:rFonts w:ascii="Times New Roman" w:hAnsi="Times New Roman" w:eastAsia="方正公文仿宋"/>
      <w:sz w:val="32"/>
    </w:rPr>
  </w:style>
  <w:style w:type="paragraph" w:styleId="12">
    <w:name w:val="toc 2"/>
    <w:basedOn w:val="1"/>
    <w:next w:val="1"/>
    <w:autoRedefine/>
    <w:unhideWhenUsed/>
    <w:qFormat/>
    <w:uiPriority w:val="39"/>
    <w:pPr>
      <w:kinsoku/>
      <w:autoSpaceDE/>
      <w:autoSpaceDN/>
      <w:adjustRightInd/>
      <w:snapToGrid/>
      <w:spacing w:after="100" w:line="259" w:lineRule="auto"/>
      <w:ind w:left="220"/>
      <w:textAlignment w:val="auto"/>
    </w:pPr>
    <w:rPr>
      <w:rFonts w:cs="Times New Roman" w:asciiTheme="minorHAnsi" w:hAnsiTheme="minorHAnsi" w:eastAsiaTheme="minorEastAsia"/>
      <w:snapToGrid/>
      <w:color w:val="auto"/>
      <w:sz w:val="22"/>
      <w:szCs w:val="22"/>
      <w:lang w:eastAsia="zh-CN"/>
    </w:rPr>
  </w:style>
  <w:style w:type="character" w:styleId="15">
    <w:name w:val="page number"/>
    <w:qFormat/>
    <w:uiPriority w:val="0"/>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customStyle="1" w:styleId="17">
    <w:name w:val="标题 字符"/>
    <w:basedOn w:val="14"/>
    <w:link w:val="2"/>
    <w:qFormat/>
    <w:uiPriority w:val="0"/>
    <w:rPr>
      <w:rFonts w:ascii="Arial" w:hAnsi="Arial" w:eastAsia="Arial" w:cs="Arial"/>
      <w:b/>
      <w:snapToGrid w:val="0"/>
      <w:color w:val="000000"/>
      <w:kern w:val="0"/>
      <w:sz w:val="32"/>
      <w:szCs w:val="21"/>
      <w:lang w:eastAsia="en-US"/>
    </w:rPr>
  </w:style>
  <w:style w:type="character" w:customStyle="1" w:styleId="18">
    <w:name w:val="正文文本 字符"/>
    <w:basedOn w:val="14"/>
    <w:link w:val="5"/>
    <w:semiHidden/>
    <w:qFormat/>
    <w:uiPriority w:val="0"/>
    <w:rPr>
      <w:rFonts w:ascii="Arial" w:hAnsi="Arial" w:eastAsia="Arial" w:cs="Arial"/>
      <w:snapToGrid w:val="0"/>
      <w:color w:val="000000"/>
      <w:kern w:val="0"/>
      <w:szCs w:val="21"/>
      <w:lang w:eastAsia="en-US"/>
    </w:rPr>
  </w:style>
  <w:style w:type="character" w:customStyle="1" w:styleId="19">
    <w:name w:val="页脚 字符"/>
    <w:basedOn w:val="14"/>
    <w:link w:val="9"/>
    <w:qFormat/>
    <w:uiPriority w:val="0"/>
    <w:rPr>
      <w:rFonts w:ascii="Arial" w:hAnsi="Arial" w:eastAsia="Arial" w:cs="Arial"/>
      <w:snapToGrid w:val="0"/>
      <w:color w:val="000000"/>
      <w:kern w:val="0"/>
      <w:sz w:val="18"/>
      <w:szCs w:val="18"/>
      <w:lang w:eastAsia="en-US"/>
    </w:rPr>
  </w:style>
  <w:style w:type="paragraph" w:customStyle="1" w:styleId="20">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1">
    <w:name w:val="font21"/>
    <w:basedOn w:val="14"/>
    <w:qFormat/>
    <w:uiPriority w:val="0"/>
    <w:rPr>
      <w:rFonts w:hint="default" w:ascii="Times New Roman" w:hAnsi="Times New Roman" w:cs="Times New Roman"/>
      <w:color w:val="000000"/>
      <w:sz w:val="24"/>
      <w:szCs w:val="24"/>
      <w:u w:val="none"/>
    </w:rPr>
  </w:style>
  <w:style w:type="character" w:customStyle="1" w:styleId="22">
    <w:name w:val="font101"/>
    <w:qFormat/>
    <w:uiPriority w:val="0"/>
    <w:rPr>
      <w:rFonts w:hint="default" w:ascii="Times New Roman" w:hAnsi="Times New Roman" w:cs="Times New Roman"/>
      <w:color w:val="000000"/>
      <w:sz w:val="22"/>
      <w:szCs w:val="22"/>
      <w:u w:val="none"/>
    </w:rPr>
  </w:style>
  <w:style w:type="character" w:customStyle="1" w:styleId="23">
    <w:name w:val="标题 1 字符"/>
    <w:basedOn w:val="14"/>
    <w:link w:val="3"/>
    <w:qFormat/>
    <w:uiPriority w:val="9"/>
    <w:rPr>
      <w:rFonts w:ascii="Arial" w:hAnsi="Arial" w:eastAsia="Arial" w:cs="Arial"/>
      <w:b/>
      <w:bCs/>
      <w:snapToGrid w:val="0"/>
      <w:color w:val="000000"/>
      <w:kern w:val="44"/>
      <w:sz w:val="44"/>
      <w:szCs w:val="44"/>
      <w:lang w:eastAsia="en-US"/>
    </w:rPr>
  </w:style>
  <w:style w:type="paragraph" w:customStyle="1" w:styleId="2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5">
    <w:name w:val="页眉 字符"/>
    <w:basedOn w:val="14"/>
    <w:link w:val="10"/>
    <w:qFormat/>
    <w:uiPriority w:val="99"/>
    <w:rPr>
      <w:rFonts w:ascii="Arial" w:hAnsi="Arial" w:eastAsia="Arial" w:cs="Arial"/>
      <w:snapToGrid w:val="0"/>
      <w:color w:val="000000"/>
      <w:kern w:val="0"/>
      <w:sz w:val="18"/>
      <w:szCs w:val="18"/>
      <w:lang w:eastAsia="en-US"/>
    </w:rPr>
  </w:style>
  <w:style w:type="paragraph" w:customStyle="1" w:styleId="26">
    <w:name w:val="Table Text"/>
    <w:basedOn w:val="1"/>
    <w:semiHidden/>
    <w:qFormat/>
    <w:uiPriority w:val="0"/>
    <w:rPr>
      <w:rFonts w:ascii="宋体" w:hAnsi="宋体" w:eastAsia="宋体" w:cs="宋体"/>
      <w:sz w:val="37"/>
      <w:szCs w:val="37"/>
      <w:lang w:val="en-US" w:eastAsia="en-US" w:bidi="ar-SA"/>
    </w:rPr>
  </w:style>
  <w:style w:type="paragraph" w:customStyle="1" w:styleId="27">
    <w:name w:val="paragraph"/>
    <w:basedOn w:val="1"/>
    <w:semiHidden/>
    <w:qFormat/>
    <w:uiPriority w:val="0"/>
    <w:pPr>
      <w:widowControl/>
      <w:spacing w:before="100" w:beforeAutospacing="1" w:after="100" w:afterAutospacing="1"/>
      <w:jc w:val="left"/>
    </w:pPr>
    <w:rPr>
      <w:rFonts w:ascii="等线" w:hAnsi="宋体" w:eastAsia="等线"/>
      <w:kern w:val="0"/>
      <w:sz w:val="24"/>
    </w:rPr>
  </w:style>
  <w:style w:type="character" w:customStyle="1" w:styleId="28">
    <w:name w:val="font12"/>
    <w:basedOn w:val="14"/>
    <w:qFormat/>
    <w:uiPriority w:val="0"/>
    <w:rPr>
      <w:rFonts w:hint="default" w:ascii="Times New Roman" w:hAnsi="Times New Roman" w:cs="Times New Roman"/>
      <w:color w:val="000000"/>
      <w:sz w:val="24"/>
      <w:szCs w:val="24"/>
      <w:u w:val="none"/>
    </w:rPr>
  </w:style>
  <w:style w:type="character" w:customStyle="1" w:styleId="29">
    <w:name w:val="font31"/>
    <w:basedOn w:val="14"/>
    <w:qFormat/>
    <w:uiPriority w:val="0"/>
    <w:rPr>
      <w:rFonts w:hint="eastAsia" w:ascii="方正仿宋_GBK" w:hAnsi="方正仿宋_GBK" w:eastAsia="方正仿宋_GBK" w:cs="方正仿宋_GBK"/>
      <w:color w:val="000000"/>
      <w:sz w:val="21"/>
      <w:szCs w:val="21"/>
      <w:u w:val="none"/>
    </w:rPr>
  </w:style>
  <w:style w:type="character" w:customStyle="1" w:styleId="30">
    <w:name w:val="font41"/>
    <w:basedOn w:val="14"/>
    <w:qFormat/>
    <w:uiPriority w:val="0"/>
    <w:rPr>
      <w:rFonts w:hint="eastAsia" w:ascii="方正仿宋_GBK" w:hAnsi="方正仿宋_GBK" w:eastAsia="方正仿宋_GBK" w:cs="方正仿宋_GBK"/>
      <w:color w:val="FF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91</Words>
  <Characters>97</Characters>
  <Lines>3</Lines>
  <Paragraphs>1</Paragraphs>
  <TotalTime>0</TotalTime>
  <ScaleCrop>false</ScaleCrop>
  <LinksUpToDate>false</LinksUpToDate>
  <CharactersWithSpaces>108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因缘果</cp:lastModifiedBy>
  <dcterms:modified xsi:type="dcterms:W3CDTF">2025-03-06T01:56:42Z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eyJoZGlkIjoiZjFmMDNmYmU5ODYyMzRlMjkwZjQ2NWRlNGIzOTZiZDUiLCJ1c2VySWQiOiI2NTAxNTA4MzgifQ==</vt:lpwstr>
  </property>
  <property fmtid="{D5CDD505-2E9C-101B-9397-08002B2CF9AE}" pid="3" name="KSOProductBuildVer">
    <vt:lpwstr>2052-12.1.0.20305</vt:lpwstr>
  </property>
  <property fmtid="{D5CDD505-2E9C-101B-9397-08002B2CF9AE}" pid="4" name="ICV">
    <vt:lpwstr>8FCA5224AB234EDD9245F130307365A6_13</vt:lpwstr>
  </property>
</Properties>
</file>