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832E06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560" w:lineRule="exact"/>
        <w:ind w:firstLine="883" w:firstLineChars="200"/>
        <w:jc w:val="both"/>
        <w:textAlignment w:val="auto"/>
        <w:rPr>
          <w:rFonts w:hint="eastAsia" w:ascii="宋体" w:hAnsi="宋体" w:eastAsia="宋体" w:cs="宋体"/>
          <w:b/>
          <w:bCs/>
          <w:color w:val="2B2B2B"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2B2B2B"/>
          <w:kern w:val="0"/>
          <w:sz w:val="44"/>
          <w:szCs w:val="44"/>
          <w:lang w:val="en-US" w:eastAsia="zh-CN"/>
        </w:rPr>
        <w:t>宿城区陈集中心小学</w:t>
      </w:r>
      <w:r>
        <w:rPr>
          <w:rFonts w:hint="eastAsia" w:ascii="宋体" w:hAnsi="宋体" w:eastAsia="宋体" w:cs="宋体"/>
          <w:b/>
          <w:bCs/>
          <w:color w:val="2B2B2B"/>
          <w:kern w:val="0"/>
          <w:sz w:val="44"/>
          <w:szCs w:val="44"/>
        </w:rPr>
        <w:t>职称评审量化</w:t>
      </w:r>
    </w:p>
    <w:p w14:paraId="1BE817FD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560" w:lineRule="exact"/>
        <w:ind w:firstLine="2209" w:firstLineChars="500"/>
        <w:jc w:val="both"/>
        <w:textAlignment w:val="auto"/>
        <w:rPr>
          <w:rFonts w:hint="eastAsia" w:ascii="宋体" w:hAnsi="宋体" w:eastAsia="宋体" w:cs="宋体"/>
          <w:b/>
          <w:bCs/>
          <w:color w:val="2B2B2B"/>
          <w:kern w:val="0"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color w:val="2B2B2B"/>
          <w:kern w:val="0"/>
          <w:sz w:val="44"/>
          <w:szCs w:val="44"/>
        </w:rPr>
        <w:t>评</w:t>
      </w:r>
      <w:r>
        <w:rPr>
          <w:rFonts w:hint="eastAsia" w:ascii="宋体" w:hAnsi="宋体" w:cs="宋体"/>
          <w:b/>
          <w:bCs/>
          <w:color w:val="2B2B2B"/>
          <w:kern w:val="0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2B2B2B"/>
          <w:kern w:val="0"/>
          <w:sz w:val="44"/>
          <w:szCs w:val="44"/>
        </w:rPr>
        <w:t>分</w:t>
      </w:r>
      <w:r>
        <w:rPr>
          <w:rFonts w:hint="eastAsia" w:ascii="宋体" w:hAnsi="宋体" w:cs="宋体"/>
          <w:b/>
          <w:bCs/>
          <w:color w:val="2B2B2B"/>
          <w:kern w:val="0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2B2B2B"/>
          <w:kern w:val="0"/>
          <w:sz w:val="44"/>
          <w:szCs w:val="44"/>
        </w:rPr>
        <w:t>细</w:t>
      </w:r>
      <w:r>
        <w:rPr>
          <w:rFonts w:hint="eastAsia" w:ascii="宋体" w:hAnsi="宋体" w:cs="宋体"/>
          <w:b/>
          <w:bCs/>
          <w:color w:val="2B2B2B"/>
          <w:kern w:val="0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2B2B2B"/>
          <w:kern w:val="0"/>
          <w:sz w:val="44"/>
          <w:szCs w:val="44"/>
        </w:rPr>
        <w:t>则</w:t>
      </w:r>
      <w:r>
        <w:rPr>
          <w:rFonts w:hint="eastAsia" w:ascii="宋体" w:hAnsi="宋体" w:eastAsia="宋体" w:cs="宋体"/>
          <w:b/>
          <w:bCs/>
          <w:color w:val="2B2B2B"/>
          <w:kern w:val="0"/>
          <w:sz w:val="44"/>
          <w:szCs w:val="44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color w:val="2B2B2B"/>
          <w:kern w:val="0"/>
          <w:sz w:val="44"/>
          <w:szCs w:val="44"/>
          <w:lang w:val="en-US" w:eastAsia="zh-CN"/>
        </w:rPr>
        <w:t>试行</w:t>
      </w:r>
      <w:r>
        <w:rPr>
          <w:rFonts w:hint="eastAsia" w:ascii="宋体" w:hAnsi="宋体" w:eastAsia="宋体" w:cs="宋体"/>
          <w:b/>
          <w:bCs/>
          <w:color w:val="2B2B2B"/>
          <w:kern w:val="0"/>
          <w:sz w:val="44"/>
          <w:szCs w:val="44"/>
          <w:lang w:eastAsia="zh-CN"/>
        </w:rPr>
        <w:t>）</w:t>
      </w:r>
    </w:p>
    <w:p w14:paraId="699F32D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2B2B2B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2B2B2B"/>
          <w:kern w:val="0"/>
          <w:sz w:val="32"/>
          <w:szCs w:val="32"/>
        </w:rPr>
        <w:t>为了进一步完善我校的专业技术职称的评审工作，在全体教师中形成“公开、公正、公平”的竞争局面，根据省、市、区人社局及教育局有关文件精神，经学校行政会议研究，制定本细则。</w:t>
      </w:r>
    </w:p>
    <w:p w14:paraId="6D163FFA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仿宋" w:hAnsi="仿宋" w:eastAsia="仿宋" w:cs="仿宋"/>
          <w:color w:val="2B2B2B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2B2B2B"/>
          <w:kern w:val="0"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 w:cs="黑体"/>
          <w:b/>
          <w:bCs/>
          <w:color w:val="2B2B2B"/>
          <w:kern w:val="0"/>
          <w:sz w:val="32"/>
          <w:szCs w:val="32"/>
        </w:rPr>
        <w:t>学历：</w:t>
      </w:r>
      <w:r>
        <w:rPr>
          <w:rFonts w:hint="eastAsia" w:ascii="仿宋" w:hAnsi="仿宋" w:eastAsia="仿宋" w:cs="仿宋"/>
          <w:color w:val="2B2B2B"/>
          <w:kern w:val="0"/>
          <w:sz w:val="32"/>
          <w:szCs w:val="32"/>
        </w:rPr>
        <w:t>本科5分。</w:t>
      </w:r>
    </w:p>
    <w:p w14:paraId="196AE9BC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黑体" w:hAnsi="黑体" w:eastAsia="黑体" w:cs="黑体"/>
          <w:b/>
          <w:bCs/>
          <w:color w:val="2B2B2B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2B2B2B"/>
          <w:kern w:val="0"/>
          <w:sz w:val="32"/>
          <w:szCs w:val="32"/>
          <w:lang w:val="en-US" w:eastAsia="zh-CN"/>
        </w:rPr>
        <w:t>二、资历、职龄：</w:t>
      </w:r>
    </w:p>
    <w:p w14:paraId="084CD462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2B2B2B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2B2B2B"/>
          <w:kern w:val="0"/>
          <w:sz w:val="32"/>
          <w:szCs w:val="32"/>
          <w:lang w:eastAsia="zh-CN"/>
        </w:rPr>
        <w:t>中小学一级教师兑资满</w:t>
      </w:r>
      <w:r>
        <w:rPr>
          <w:rFonts w:hint="eastAsia" w:ascii="仿宋" w:hAnsi="仿宋" w:eastAsia="仿宋" w:cs="仿宋"/>
          <w:color w:val="2B2B2B"/>
          <w:kern w:val="0"/>
          <w:sz w:val="32"/>
          <w:szCs w:val="32"/>
          <w:lang w:val="en-US" w:eastAsia="zh-CN"/>
        </w:rPr>
        <w:t>5年，</w:t>
      </w:r>
      <w:r>
        <w:rPr>
          <w:rFonts w:hint="eastAsia" w:ascii="仿宋" w:hAnsi="仿宋" w:eastAsia="仿宋" w:cs="仿宋"/>
          <w:color w:val="2B2B2B"/>
          <w:kern w:val="0"/>
          <w:sz w:val="32"/>
          <w:szCs w:val="32"/>
        </w:rPr>
        <w:t>以</w:t>
      </w:r>
      <w:r>
        <w:rPr>
          <w:rFonts w:hint="eastAsia" w:ascii="仿宋" w:hAnsi="仿宋" w:eastAsia="仿宋" w:cs="仿宋"/>
          <w:color w:val="2B2B2B"/>
          <w:kern w:val="0"/>
          <w:sz w:val="32"/>
          <w:szCs w:val="32"/>
          <w:lang w:eastAsia="zh-CN"/>
        </w:rPr>
        <w:t>中小学</w:t>
      </w:r>
      <w:r>
        <w:rPr>
          <w:rFonts w:hint="eastAsia" w:ascii="仿宋" w:hAnsi="仿宋" w:eastAsia="仿宋" w:cs="仿宋"/>
          <w:color w:val="2B2B2B"/>
          <w:kern w:val="0"/>
          <w:sz w:val="32"/>
          <w:szCs w:val="32"/>
        </w:rPr>
        <w:t>一级职称</w:t>
      </w:r>
      <w:r>
        <w:rPr>
          <w:rFonts w:hint="eastAsia" w:ascii="仿宋" w:hAnsi="仿宋" w:eastAsia="仿宋" w:cs="仿宋"/>
          <w:color w:val="2B2B2B"/>
          <w:kern w:val="0"/>
          <w:sz w:val="32"/>
          <w:szCs w:val="32"/>
          <w:lang w:eastAsia="zh-CN"/>
        </w:rPr>
        <w:t>取得</w:t>
      </w:r>
      <w:r>
        <w:rPr>
          <w:rFonts w:hint="eastAsia" w:ascii="仿宋" w:hAnsi="仿宋" w:eastAsia="仿宋" w:cs="仿宋"/>
          <w:color w:val="2B2B2B"/>
          <w:kern w:val="0"/>
          <w:sz w:val="32"/>
          <w:szCs w:val="32"/>
        </w:rPr>
        <w:t>时间为准，每年计1分</w:t>
      </w:r>
      <w:r>
        <w:rPr>
          <w:rFonts w:hint="eastAsia" w:ascii="仿宋" w:hAnsi="仿宋" w:eastAsia="仿宋" w:cs="仿宋"/>
          <w:color w:val="2B2B2B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2B2B2B"/>
          <w:kern w:val="0"/>
          <w:sz w:val="32"/>
          <w:szCs w:val="32"/>
        </w:rPr>
        <w:t>不封顶</w:t>
      </w:r>
      <w:r>
        <w:rPr>
          <w:rFonts w:hint="eastAsia" w:ascii="仿宋" w:hAnsi="仿宋" w:eastAsia="仿宋" w:cs="仿宋"/>
          <w:color w:val="2B2B2B"/>
          <w:kern w:val="0"/>
          <w:sz w:val="32"/>
          <w:szCs w:val="32"/>
          <w:lang w:eastAsia="zh-CN"/>
        </w:rPr>
        <w:t>。</w:t>
      </w:r>
    </w:p>
    <w:p w14:paraId="0F183939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黑体" w:hAnsi="黑体" w:eastAsia="黑体" w:cs="黑体"/>
          <w:b/>
          <w:bCs/>
          <w:color w:val="2B2B2B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2B2B2B"/>
          <w:kern w:val="0"/>
          <w:sz w:val="32"/>
          <w:szCs w:val="32"/>
          <w:lang w:val="en-US" w:eastAsia="zh-CN"/>
        </w:rPr>
        <w:t>三、优课评选及辅导学生（此项封顶30分）</w:t>
      </w:r>
    </w:p>
    <w:p w14:paraId="4D1FCCBC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2B2B2B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2B2B2B"/>
          <w:kern w:val="0"/>
          <w:sz w:val="32"/>
          <w:szCs w:val="32"/>
        </w:rPr>
        <w:t>（1）</w:t>
      </w:r>
      <w:r>
        <w:rPr>
          <w:rFonts w:hint="eastAsia" w:ascii="仿宋" w:hAnsi="仿宋" w:eastAsia="仿宋" w:cs="仿宋"/>
          <w:color w:val="2B2B2B"/>
          <w:kern w:val="0"/>
          <w:sz w:val="32"/>
          <w:szCs w:val="32"/>
          <w:lang w:eastAsia="zh-CN"/>
        </w:rPr>
        <w:t>取得中小学一级职称</w:t>
      </w:r>
      <w:r>
        <w:rPr>
          <w:rFonts w:hint="eastAsia" w:ascii="仿宋" w:hAnsi="仿宋" w:eastAsia="仿宋" w:cs="仿宋"/>
          <w:color w:val="2B2B2B"/>
          <w:kern w:val="0"/>
          <w:sz w:val="32"/>
          <w:szCs w:val="32"/>
        </w:rPr>
        <w:t>以来参加省、市、区、校级优质课、示范课、公开课、基本功大赛或参与命题、开设讲座的按相应等第计分。</w:t>
      </w:r>
    </w:p>
    <w:tbl>
      <w:tblPr>
        <w:tblStyle w:val="2"/>
        <w:tblW w:w="0" w:type="auto"/>
        <w:tblInd w:w="25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6"/>
        <w:gridCol w:w="1952"/>
        <w:gridCol w:w="1455"/>
        <w:gridCol w:w="1320"/>
        <w:gridCol w:w="2535"/>
      </w:tblGrid>
      <w:tr w14:paraId="3AE22D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496" w:type="dxa"/>
            <w:noWrap w:val="0"/>
            <w:vAlign w:val="center"/>
          </w:tcPr>
          <w:p w14:paraId="686A96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320" w:firstLineChars="100"/>
              <w:jc w:val="both"/>
              <w:textAlignment w:val="auto"/>
              <w:rPr>
                <w:rFonts w:hint="eastAsia" w:ascii="仿宋" w:hAnsi="仿宋" w:eastAsia="仿宋" w:cs="仿宋"/>
                <w:color w:val="2B2B2B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32"/>
                <w:szCs w:val="32"/>
              </w:rPr>
              <w:t>级别</w:t>
            </w:r>
          </w:p>
        </w:tc>
        <w:tc>
          <w:tcPr>
            <w:tcW w:w="1952" w:type="dxa"/>
            <w:noWrap w:val="0"/>
            <w:vAlign w:val="center"/>
          </w:tcPr>
          <w:p w14:paraId="17A606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" w:hAnsi="仿宋" w:eastAsia="仿宋" w:cs="仿宋"/>
                <w:color w:val="2B2B2B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32"/>
                <w:szCs w:val="32"/>
              </w:rPr>
              <w:t>省级及以上</w:t>
            </w:r>
          </w:p>
        </w:tc>
        <w:tc>
          <w:tcPr>
            <w:tcW w:w="1455" w:type="dxa"/>
            <w:noWrap w:val="0"/>
            <w:vAlign w:val="center"/>
          </w:tcPr>
          <w:p w14:paraId="7FF05E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2B2B2B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32"/>
                <w:szCs w:val="32"/>
              </w:rPr>
              <w:t>市级</w:t>
            </w:r>
          </w:p>
        </w:tc>
        <w:tc>
          <w:tcPr>
            <w:tcW w:w="1320" w:type="dxa"/>
            <w:noWrap w:val="0"/>
            <w:vAlign w:val="center"/>
          </w:tcPr>
          <w:p w14:paraId="74D055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320" w:firstLineChars="100"/>
              <w:jc w:val="both"/>
              <w:textAlignment w:val="auto"/>
              <w:rPr>
                <w:rFonts w:hint="eastAsia" w:ascii="仿宋" w:hAnsi="仿宋" w:eastAsia="仿宋" w:cs="仿宋"/>
                <w:color w:val="2B2B2B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32"/>
                <w:szCs w:val="32"/>
              </w:rPr>
              <w:t>区级</w:t>
            </w:r>
          </w:p>
        </w:tc>
        <w:tc>
          <w:tcPr>
            <w:tcW w:w="2535" w:type="dxa"/>
            <w:noWrap w:val="0"/>
            <w:vAlign w:val="center"/>
          </w:tcPr>
          <w:p w14:paraId="289899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" w:hAnsi="仿宋" w:eastAsia="仿宋" w:cs="仿宋"/>
                <w:color w:val="2B2B2B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32"/>
                <w:szCs w:val="32"/>
              </w:rPr>
              <w:t>校级(封顶3分)</w:t>
            </w:r>
          </w:p>
        </w:tc>
      </w:tr>
      <w:tr w14:paraId="52EECA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496" w:type="dxa"/>
            <w:noWrap w:val="0"/>
            <w:vAlign w:val="top"/>
          </w:tcPr>
          <w:p w14:paraId="08B648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color w:val="2B2B2B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32"/>
                <w:szCs w:val="32"/>
              </w:rPr>
              <w:t>基本功大赛、优课评选</w:t>
            </w:r>
          </w:p>
        </w:tc>
        <w:tc>
          <w:tcPr>
            <w:tcW w:w="1952" w:type="dxa"/>
            <w:noWrap w:val="0"/>
            <w:vAlign w:val="center"/>
          </w:tcPr>
          <w:p w14:paraId="42F5E8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" w:hAnsi="仿宋" w:eastAsia="仿宋" w:cs="仿宋"/>
                <w:color w:val="2B2B2B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32"/>
                <w:szCs w:val="32"/>
              </w:rPr>
              <w:t>5、4、3</w:t>
            </w:r>
          </w:p>
        </w:tc>
        <w:tc>
          <w:tcPr>
            <w:tcW w:w="1455" w:type="dxa"/>
            <w:noWrap w:val="0"/>
            <w:vAlign w:val="center"/>
          </w:tcPr>
          <w:p w14:paraId="0CD5C3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" w:hAnsi="仿宋" w:eastAsia="仿宋" w:cs="仿宋"/>
                <w:color w:val="2B2B2B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32"/>
                <w:szCs w:val="32"/>
              </w:rPr>
              <w:t>4、3、2</w:t>
            </w:r>
          </w:p>
        </w:tc>
        <w:tc>
          <w:tcPr>
            <w:tcW w:w="1320" w:type="dxa"/>
            <w:noWrap w:val="0"/>
            <w:vAlign w:val="center"/>
          </w:tcPr>
          <w:p w14:paraId="5F5959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" w:hAnsi="仿宋" w:eastAsia="仿宋" w:cs="仿宋"/>
                <w:color w:val="2B2B2B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32"/>
                <w:szCs w:val="32"/>
              </w:rPr>
              <w:t>3、2、1</w:t>
            </w:r>
          </w:p>
        </w:tc>
        <w:tc>
          <w:tcPr>
            <w:tcW w:w="2535" w:type="dxa"/>
            <w:noWrap w:val="0"/>
            <w:vAlign w:val="center"/>
          </w:tcPr>
          <w:p w14:paraId="140BE7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" w:hAnsi="仿宋" w:eastAsia="仿宋" w:cs="仿宋"/>
                <w:color w:val="2B2B2B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32"/>
                <w:szCs w:val="32"/>
              </w:rPr>
              <w:t>1</w:t>
            </w:r>
          </w:p>
        </w:tc>
      </w:tr>
      <w:tr w14:paraId="5D31A9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496" w:type="dxa"/>
            <w:noWrap w:val="0"/>
            <w:vAlign w:val="center"/>
          </w:tcPr>
          <w:p w14:paraId="1FCDBE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color w:val="2B2B2B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32"/>
                <w:szCs w:val="32"/>
              </w:rPr>
              <w:t>优质课、示范课、公开课、网上</w:t>
            </w:r>
            <w:r>
              <w:rPr>
                <w:rFonts w:hint="eastAsia" w:ascii="仿宋" w:hAnsi="仿宋" w:eastAsia="仿宋" w:cs="仿宋"/>
                <w:color w:val="2B2B2B"/>
                <w:kern w:val="0"/>
                <w:sz w:val="32"/>
                <w:szCs w:val="32"/>
              </w:rPr>
              <w:t>晒课、参与命题、开设讲座</w:t>
            </w:r>
          </w:p>
        </w:tc>
        <w:tc>
          <w:tcPr>
            <w:tcW w:w="1952" w:type="dxa"/>
            <w:noWrap w:val="0"/>
            <w:vAlign w:val="center"/>
          </w:tcPr>
          <w:p w14:paraId="750B14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both"/>
              <w:textAlignment w:val="auto"/>
              <w:rPr>
                <w:rFonts w:hint="eastAsia" w:ascii="仿宋" w:hAnsi="仿宋" w:eastAsia="仿宋" w:cs="仿宋"/>
                <w:color w:val="2B2B2B"/>
                <w:kern w:val="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2B2B2B"/>
                <w:kern w:val="0"/>
                <w:sz w:val="32"/>
                <w:szCs w:val="32"/>
              </w:rPr>
              <w:t>3</w:t>
            </w:r>
          </w:p>
        </w:tc>
        <w:tc>
          <w:tcPr>
            <w:tcW w:w="1455" w:type="dxa"/>
            <w:noWrap w:val="0"/>
            <w:vAlign w:val="center"/>
          </w:tcPr>
          <w:p w14:paraId="7CB68A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both"/>
              <w:textAlignment w:val="auto"/>
              <w:rPr>
                <w:rFonts w:hint="eastAsia" w:ascii="仿宋" w:hAnsi="仿宋" w:eastAsia="仿宋" w:cs="仿宋"/>
                <w:color w:val="2B2B2B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32"/>
                <w:szCs w:val="32"/>
              </w:rPr>
              <w:t>2</w:t>
            </w:r>
          </w:p>
        </w:tc>
        <w:tc>
          <w:tcPr>
            <w:tcW w:w="1320" w:type="dxa"/>
            <w:noWrap w:val="0"/>
            <w:vAlign w:val="center"/>
          </w:tcPr>
          <w:p w14:paraId="7696DC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" w:hAnsi="仿宋" w:eastAsia="仿宋" w:cs="仿宋"/>
                <w:color w:val="2B2B2B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32"/>
                <w:szCs w:val="32"/>
              </w:rPr>
              <w:t>1</w:t>
            </w:r>
          </w:p>
        </w:tc>
        <w:tc>
          <w:tcPr>
            <w:tcW w:w="2535" w:type="dxa"/>
            <w:noWrap w:val="0"/>
            <w:vAlign w:val="center"/>
          </w:tcPr>
          <w:p w14:paraId="64FAB7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" w:hAnsi="仿宋" w:eastAsia="仿宋" w:cs="仿宋"/>
                <w:color w:val="2B2B2B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32"/>
                <w:szCs w:val="32"/>
              </w:rPr>
              <w:t>0.5</w:t>
            </w:r>
          </w:p>
        </w:tc>
      </w:tr>
    </w:tbl>
    <w:p w14:paraId="4853A7DE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2B2B2B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2B2B2B"/>
          <w:kern w:val="0"/>
          <w:sz w:val="32"/>
          <w:szCs w:val="32"/>
        </w:rPr>
        <w:t>（2）指导学生参加省及以上、市、区、校文体竞赛、绘画、语、数、科技等各类比赛，获奖的（有指导老师证书），每人（组、队）次分别记3、2、1、0.5分。多人辅导的项目，用相应分值除以人数计算个人得分。</w:t>
      </w:r>
    </w:p>
    <w:p w14:paraId="3D057129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黑体" w:hAnsi="黑体" w:eastAsia="黑体" w:cs="黑体"/>
          <w:b/>
          <w:bCs/>
          <w:color w:val="2B2B2B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2B2B2B"/>
          <w:kern w:val="0"/>
          <w:sz w:val="32"/>
          <w:szCs w:val="32"/>
          <w:lang w:val="en-US" w:eastAsia="zh-CN"/>
        </w:rPr>
        <w:t>四、教育科研：（此项封顶25分）</w:t>
      </w:r>
    </w:p>
    <w:p w14:paraId="21FE7B0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2B2B2B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2B2B2B"/>
          <w:kern w:val="0"/>
          <w:sz w:val="32"/>
          <w:szCs w:val="32"/>
        </w:rPr>
        <w:t>（1）</w:t>
      </w:r>
      <w:r>
        <w:rPr>
          <w:rFonts w:hint="eastAsia" w:ascii="仿宋" w:hAnsi="仿宋" w:eastAsia="仿宋" w:cs="仿宋"/>
          <w:color w:val="2B2B2B"/>
          <w:kern w:val="0"/>
          <w:sz w:val="32"/>
          <w:szCs w:val="32"/>
          <w:lang w:eastAsia="zh-CN"/>
        </w:rPr>
        <w:t>取得中小学一级职称</w:t>
      </w:r>
      <w:r>
        <w:rPr>
          <w:rFonts w:hint="eastAsia" w:ascii="仿宋" w:hAnsi="仿宋" w:eastAsia="仿宋" w:cs="仿宋"/>
          <w:color w:val="2B2B2B"/>
          <w:kern w:val="0"/>
          <w:sz w:val="32"/>
          <w:szCs w:val="32"/>
        </w:rPr>
        <w:t>以来以来论文获奖与发表。获奖（必须教育主管部门主办）按等第记分，无等第的（如参与奖、优秀奖、交流等）均视为三等；论文发表的刊物必须是教育教学杂志（G4刊物）且在知网等网站和《国家新闻出版广电总局》可查到。</w:t>
      </w:r>
    </w:p>
    <w:p w14:paraId="34345AD8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2B2B2B"/>
          <w:kern w:val="0"/>
          <w:sz w:val="32"/>
          <w:szCs w:val="32"/>
        </w:rPr>
      </w:pPr>
    </w:p>
    <w:tbl>
      <w:tblPr>
        <w:tblStyle w:val="2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6"/>
        <w:gridCol w:w="2142"/>
        <w:gridCol w:w="2055"/>
        <w:gridCol w:w="3420"/>
      </w:tblGrid>
      <w:tr w14:paraId="3E3901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376" w:type="dxa"/>
            <w:noWrap w:val="0"/>
            <w:vAlign w:val="top"/>
          </w:tcPr>
          <w:p w14:paraId="5B0ADF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" w:hAnsi="仿宋" w:eastAsia="仿宋" w:cs="仿宋"/>
                <w:color w:val="2B2B2B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32"/>
                <w:szCs w:val="32"/>
              </w:rPr>
              <w:t>级别</w:t>
            </w:r>
          </w:p>
        </w:tc>
        <w:tc>
          <w:tcPr>
            <w:tcW w:w="2142" w:type="dxa"/>
            <w:noWrap w:val="0"/>
            <w:vAlign w:val="top"/>
          </w:tcPr>
          <w:p w14:paraId="43FE84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color w:val="2B2B2B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32"/>
                <w:szCs w:val="32"/>
              </w:rPr>
              <w:t>省级及以上</w:t>
            </w:r>
          </w:p>
        </w:tc>
        <w:tc>
          <w:tcPr>
            <w:tcW w:w="2055" w:type="dxa"/>
            <w:noWrap w:val="0"/>
            <w:vAlign w:val="top"/>
          </w:tcPr>
          <w:p w14:paraId="760280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2B2B2B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32"/>
                <w:szCs w:val="32"/>
              </w:rPr>
              <w:t>市级</w:t>
            </w:r>
          </w:p>
        </w:tc>
        <w:tc>
          <w:tcPr>
            <w:tcW w:w="3420" w:type="dxa"/>
            <w:noWrap w:val="0"/>
            <w:vAlign w:val="top"/>
          </w:tcPr>
          <w:p w14:paraId="070E2A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2B2B2B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32"/>
                <w:szCs w:val="32"/>
              </w:rPr>
              <w:t>区级</w:t>
            </w:r>
          </w:p>
        </w:tc>
      </w:tr>
      <w:tr w14:paraId="72107E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376" w:type="dxa"/>
            <w:noWrap w:val="0"/>
            <w:vAlign w:val="top"/>
          </w:tcPr>
          <w:p w14:paraId="7885A9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" w:hAnsi="仿宋" w:eastAsia="仿宋" w:cs="仿宋"/>
                <w:color w:val="2B2B2B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32"/>
                <w:szCs w:val="32"/>
              </w:rPr>
              <w:t>发表</w:t>
            </w:r>
          </w:p>
        </w:tc>
        <w:tc>
          <w:tcPr>
            <w:tcW w:w="2142" w:type="dxa"/>
            <w:noWrap w:val="0"/>
            <w:vAlign w:val="center"/>
          </w:tcPr>
          <w:p w14:paraId="1ADCE3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both"/>
              <w:textAlignment w:val="auto"/>
              <w:rPr>
                <w:rFonts w:hint="eastAsia" w:ascii="仿宋" w:hAnsi="仿宋" w:eastAsia="仿宋" w:cs="仿宋"/>
                <w:color w:val="2B2B2B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32"/>
                <w:szCs w:val="32"/>
              </w:rPr>
              <w:t>5</w:t>
            </w:r>
          </w:p>
        </w:tc>
        <w:tc>
          <w:tcPr>
            <w:tcW w:w="2055" w:type="dxa"/>
            <w:noWrap w:val="0"/>
            <w:vAlign w:val="center"/>
          </w:tcPr>
          <w:p w14:paraId="08B992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2B2B2B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32"/>
                <w:szCs w:val="32"/>
              </w:rPr>
              <w:t>3</w:t>
            </w:r>
          </w:p>
        </w:tc>
        <w:tc>
          <w:tcPr>
            <w:tcW w:w="3420" w:type="dxa"/>
            <w:noWrap w:val="0"/>
            <w:vAlign w:val="center"/>
          </w:tcPr>
          <w:p w14:paraId="0AD589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2B2B2B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32"/>
                <w:szCs w:val="32"/>
              </w:rPr>
              <w:t>不记分</w:t>
            </w:r>
          </w:p>
        </w:tc>
      </w:tr>
      <w:tr w14:paraId="12CB93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376" w:type="dxa"/>
            <w:noWrap w:val="0"/>
            <w:vAlign w:val="top"/>
          </w:tcPr>
          <w:p w14:paraId="0D7A5E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" w:hAnsi="仿宋" w:eastAsia="仿宋" w:cs="仿宋"/>
                <w:color w:val="2B2B2B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32"/>
                <w:szCs w:val="32"/>
              </w:rPr>
              <w:t>获奖</w:t>
            </w:r>
          </w:p>
        </w:tc>
        <w:tc>
          <w:tcPr>
            <w:tcW w:w="2142" w:type="dxa"/>
            <w:noWrap w:val="0"/>
            <w:vAlign w:val="center"/>
          </w:tcPr>
          <w:p w14:paraId="2C1079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2B2B2B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32"/>
                <w:szCs w:val="32"/>
              </w:rPr>
              <w:t>3、2、1</w:t>
            </w:r>
          </w:p>
        </w:tc>
        <w:tc>
          <w:tcPr>
            <w:tcW w:w="2055" w:type="dxa"/>
            <w:noWrap w:val="0"/>
            <w:vAlign w:val="center"/>
          </w:tcPr>
          <w:p w14:paraId="5BF1D5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2B2B2B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32"/>
                <w:szCs w:val="32"/>
              </w:rPr>
              <w:t>2、1、0.5</w:t>
            </w:r>
          </w:p>
        </w:tc>
        <w:tc>
          <w:tcPr>
            <w:tcW w:w="3420" w:type="dxa"/>
            <w:noWrap w:val="0"/>
            <w:vAlign w:val="center"/>
          </w:tcPr>
          <w:p w14:paraId="6CB45B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" w:hAnsi="仿宋" w:eastAsia="仿宋" w:cs="仿宋"/>
                <w:color w:val="2B2B2B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2B2B2B"/>
                <w:kern w:val="0"/>
                <w:sz w:val="32"/>
                <w:szCs w:val="32"/>
              </w:rPr>
              <w:t>1、0.5（三等不记分）</w:t>
            </w:r>
          </w:p>
        </w:tc>
      </w:tr>
    </w:tbl>
    <w:p w14:paraId="2B73201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2B2B2B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2B2B2B"/>
          <w:kern w:val="0"/>
          <w:sz w:val="32"/>
          <w:szCs w:val="32"/>
        </w:rPr>
        <w:t>（2）</w:t>
      </w:r>
      <w:r>
        <w:rPr>
          <w:rFonts w:hint="eastAsia" w:ascii="仿宋" w:hAnsi="仿宋" w:eastAsia="仿宋" w:cs="仿宋"/>
          <w:color w:val="2B2B2B"/>
          <w:kern w:val="0"/>
          <w:sz w:val="32"/>
          <w:szCs w:val="32"/>
          <w:lang w:eastAsia="zh-CN"/>
        </w:rPr>
        <w:t>取得中小学一级职称</w:t>
      </w:r>
      <w:r>
        <w:rPr>
          <w:rFonts w:hint="eastAsia" w:ascii="仿宋" w:hAnsi="仿宋" w:eastAsia="仿宋" w:cs="仿宋"/>
          <w:color w:val="2B2B2B"/>
          <w:kern w:val="0"/>
          <w:sz w:val="32"/>
          <w:szCs w:val="32"/>
        </w:rPr>
        <w:t>以来主持或参与课题研究（必须是已结题并发表相关论文）。主持人按省、市、区分别记6、4、2分；参与课题研究的并且有与此课题相关论文获奖或发表的减半记分。</w:t>
      </w:r>
    </w:p>
    <w:p w14:paraId="76C79760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黑体" w:hAnsi="黑体" w:eastAsia="黑体" w:cs="黑体"/>
          <w:b/>
          <w:bCs/>
          <w:color w:val="2B2B2B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2B2B2B"/>
          <w:kern w:val="0"/>
          <w:sz w:val="32"/>
          <w:szCs w:val="32"/>
          <w:lang w:val="en-US" w:eastAsia="zh-CN"/>
        </w:rPr>
        <w:t>五、受表彰情况：（此项封顶25分）</w:t>
      </w:r>
    </w:p>
    <w:p w14:paraId="2E8ABF8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2B2B2B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2B2B2B"/>
          <w:kern w:val="0"/>
          <w:sz w:val="32"/>
          <w:szCs w:val="32"/>
        </w:rPr>
        <w:t>（1）</w:t>
      </w:r>
      <w:r>
        <w:rPr>
          <w:rFonts w:hint="eastAsia" w:ascii="仿宋" w:hAnsi="仿宋" w:eastAsia="仿宋" w:cs="仿宋"/>
          <w:color w:val="2B2B2B"/>
          <w:kern w:val="0"/>
          <w:sz w:val="32"/>
          <w:szCs w:val="32"/>
          <w:lang w:eastAsia="zh-CN"/>
        </w:rPr>
        <w:t>取得中小学一级职称</w:t>
      </w:r>
      <w:r>
        <w:rPr>
          <w:rFonts w:hint="eastAsia" w:ascii="仿宋" w:hAnsi="仿宋" w:eastAsia="仿宋" w:cs="仿宋"/>
          <w:color w:val="2B2B2B"/>
          <w:kern w:val="0"/>
          <w:sz w:val="32"/>
          <w:szCs w:val="32"/>
        </w:rPr>
        <w:t>以来获省及以上、市、区、乡党委政府表彰或授予荣誉称号的分别记5、4、3、2分；受省及以上、市、区教育主管理部门表彰的分别记4、3、2分，校级记1分；受省及以上、市、区教育主管部门与其他部门联合表彰的分别记3、2、1记分；受其他部门表彰的（无教育主管部门参与）分别记2、1、0.5分。</w:t>
      </w:r>
    </w:p>
    <w:p w14:paraId="041F8654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2B2B2B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2B2B2B"/>
          <w:kern w:val="0"/>
          <w:sz w:val="32"/>
          <w:szCs w:val="32"/>
        </w:rPr>
        <w:t>（2）、</w:t>
      </w:r>
      <w:r>
        <w:rPr>
          <w:rFonts w:hint="eastAsia" w:ascii="仿宋" w:hAnsi="仿宋" w:eastAsia="仿宋" w:cs="仿宋"/>
          <w:color w:val="2B2B2B"/>
          <w:kern w:val="0"/>
          <w:sz w:val="32"/>
          <w:szCs w:val="32"/>
          <w:lang w:eastAsia="zh-CN"/>
        </w:rPr>
        <w:t>取得中小学一级职称</w:t>
      </w:r>
      <w:r>
        <w:rPr>
          <w:rFonts w:hint="eastAsia" w:ascii="仿宋" w:hAnsi="仿宋" w:eastAsia="仿宋" w:cs="仿宋"/>
          <w:color w:val="2B2B2B"/>
          <w:kern w:val="0"/>
          <w:sz w:val="32"/>
          <w:szCs w:val="32"/>
        </w:rPr>
        <w:t>以来获市（区）学科带头人、骨干教师、教学能手、教坛新秀称号的分别记6（4）、5（3）、4（2）、3（1）分；多次获得的市区各只记最高一次。</w:t>
      </w:r>
    </w:p>
    <w:p w14:paraId="28AA9E6D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黑体" w:hAnsi="黑体" w:eastAsia="黑体" w:cs="黑体"/>
          <w:b/>
          <w:bCs/>
          <w:color w:val="2B2B2B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2B2B2B"/>
          <w:kern w:val="0"/>
          <w:sz w:val="32"/>
          <w:szCs w:val="32"/>
          <w:lang w:val="en-US" w:eastAsia="zh-CN"/>
        </w:rPr>
        <w:t>六、班主任管理：（此项封顶10分）</w:t>
      </w:r>
    </w:p>
    <w:p w14:paraId="609DBC4F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/>
          <w:color w:val="2B2B2B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2B2B2B"/>
          <w:kern w:val="0"/>
          <w:sz w:val="32"/>
          <w:szCs w:val="32"/>
          <w:lang w:eastAsia="zh-CN"/>
        </w:rPr>
        <w:t>取得中小学一级职称</w:t>
      </w:r>
      <w:r>
        <w:rPr>
          <w:rFonts w:hint="eastAsia" w:ascii="仿宋" w:hAnsi="仿宋" w:eastAsia="仿宋" w:cs="仿宋"/>
          <w:color w:val="2B2B2B"/>
          <w:kern w:val="0"/>
          <w:sz w:val="32"/>
          <w:szCs w:val="32"/>
        </w:rPr>
        <w:t>以来，兼任班主任(中层及以上教干)的</w:t>
      </w:r>
      <w:r>
        <w:rPr>
          <w:rFonts w:hint="eastAsia" w:ascii="仿宋" w:hAnsi="仿宋" w:eastAsia="仿宋" w:cs="仿宋"/>
          <w:color w:val="2B2B2B"/>
          <w:kern w:val="0"/>
          <w:sz w:val="32"/>
          <w:szCs w:val="32"/>
          <w:lang w:eastAsia="zh-CN"/>
        </w:rPr>
        <w:t>，每一年</w:t>
      </w:r>
      <w:r>
        <w:rPr>
          <w:rFonts w:hint="eastAsia" w:ascii="仿宋" w:hAnsi="仿宋" w:eastAsia="仿宋" w:cs="仿宋"/>
          <w:color w:val="2B2B2B"/>
          <w:kern w:val="0"/>
          <w:sz w:val="32"/>
          <w:szCs w:val="32"/>
          <w:lang w:val="en-US" w:eastAsia="zh-CN"/>
        </w:rPr>
        <w:t>1分，封顶10分。</w:t>
      </w:r>
    </w:p>
    <w:p w14:paraId="2A8EA97C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2B2B2B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2B2B2B"/>
          <w:kern w:val="0"/>
          <w:sz w:val="32"/>
          <w:szCs w:val="32"/>
          <w:lang w:eastAsia="zh-CN"/>
        </w:rPr>
        <w:t>以上职称评聘试行方案，从20</w:t>
      </w:r>
      <w:r>
        <w:rPr>
          <w:rFonts w:hint="eastAsia" w:ascii="仿宋" w:hAnsi="仿宋" w:eastAsia="仿宋" w:cs="仿宋"/>
          <w:color w:val="2B2B2B"/>
          <w:kern w:val="0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 w:cs="仿宋"/>
          <w:color w:val="2B2B2B"/>
          <w:kern w:val="0"/>
          <w:sz w:val="32"/>
          <w:szCs w:val="32"/>
          <w:lang w:eastAsia="zh-CN"/>
        </w:rPr>
        <w:t>年8月16日起开始实施。</w:t>
      </w:r>
    </w:p>
    <w:p w14:paraId="1D9B3A99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仿宋" w:hAnsi="仿宋" w:eastAsia="仿宋" w:cs="仿宋"/>
          <w:b/>
          <w:color w:val="2B2B2B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color w:val="2B2B2B"/>
          <w:kern w:val="0"/>
          <w:sz w:val="32"/>
          <w:szCs w:val="32"/>
        </w:rPr>
        <w:t>注：1、本方案如与省、市、区职称评聘文件规定相冲突的，以上级文件为准。</w:t>
      </w:r>
    </w:p>
    <w:p w14:paraId="31730FAE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仿宋" w:hAnsi="仿宋" w:eastAsia="仿宋" w:cs="仿宋"/>
          <w:b/>
          <w:color w:val="2B2B2B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color w:val="2B2B2B"/>
          <w:kern w:val="0"/>
          <w:sz w:val="32"/>
          <w:szCs w:val="32"/>
        </w:rPr>
        <w:t>2、以上各条款解释权归陈集</w:t>
      </w:r>
      <w:r>
        <w:rPr>
          <w:rFonts w:hint="eastAsia" w:ascii="仿宋" w:hAnsi="仿宋" w:eastAsia="仿宋" w:cs="仿宋"/>
          <w:b/>
          <w:color w:val="2B2B2B"/>
          <w:kern w:val="0"/>
          <w:sz w:val="32"/>
          <w:szCs w:val="32"/>
          <w:lang w:val="en-US" w:eastAsia="zh-CN"/>
        </w:rPr>
        <w:t>中心</w:t>
      </w:r>
      <w:r>
        <w:rPr>
          <w:rFonts w:hint="eastAsia" w:ascii="仿宋" w:hAnsi="仿宋" w:eastAsia="仿宋" w:cs="仿宋"/>
          <w:b/>
          <w:color w:val="2B2B2B"/>
          <w:kern w:val="0"/>
          <w:sz w:val="32"/>
          <w:szCs w:val="32"/>
        </w:rPr>
        <w:t>小学职称评聘领导小组所有。</w:t>
      </w:r>
    </w:p>
    <w:p w14:paraId="78FDA3E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984" w:right="1531" w:bottom="170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4NjMzYmJlYmJlMjNmOTVjNDU1NzA2NjFjOWQyMWIifQ=="/>
  </w:docVars>
  <w:rsids>
    <w:rsidRoot w:val="3BA51319"/>
    <w:rsid w:val="3BA51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2024-10-08T02:40:00Z</dcterms:created>
  <dc:creator>出彩人生</dc:creator>
  <cp:lastModifiedBy>出彩人生</cp:lastModifiedBy>
  <dcterms:modified xsi:type="dcterms:W3CDTF">2024-10-08T02:50:11Z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F77AA1A6AFE84D108285EB556A0F41F9_11</vt:lpwstr>
  </property>
</Properties>
</file>