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pStyle w:val="3"/>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0" w:afterAutospacing="0" w:line="554" w:lineRule="atLeast"/>
        <w:ind w:left="0" w:right="0" w:firstLine="0"/>
        <w:jc w:val="center"/>
        <w:rPr>
          <w:rFonts w:ascii="方正小标宋_GBK" w:eastAsia="方正小标宋_GBK" w:cs="方正小标宋_GBK" w:hint="eastAsia"/>
          <w:b w:val="0"/>
          <w:bCs w:val="0"/>
          <w:i w:val="0"/>
          <w:iCs w:val="0"/>
          <w:caps w:val="0"/>
          <w:smallCaps w:val="0"/>
          <w:color w:val="333333"/>
          <w:spacing w:val="0"/>
          <w:sz w:val="40"/>
          <w:szCs w:val="40"/>
        </w:rPr>
      </w:pPr>
      <w:r>
        <w:rPr>
          <w:rFonts w:ascii="方正小标宋_GBK" w:eastAsia="方正小标宋_GBK" w:cs="方正小标宋_GBK" w:hint="eastAsia"/>
          <w:b w:val="0"/>
          <w:bCs w:val="0"/>
          <w:i w:val="0"/>
          <w:iCs w:val="0"/>
          <w:caps w:val="0"/>
          <w:smallCaps w:val="0"/>
          <w:color w:val="333333"/>
          <w:spacing w:val="0"/>
          <w:sz w:val="40"/>
          <w:szCs w:val="40"/>
          <w:shd w:val="clear" w:color="auto" w:fill="FFFFFF"/>
        </w:rPr>
        <w:t>行政检查事项及检查依据</w:t>
      </w:r>
    </w:p>
    <w:tbl>
      <w:tblPr>
        <w:jc w:val="left"/>
        <w:tblInd w:w="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6"/>
        <w:gridCol w:w="1685"/>
        <w:gridCol w:w="1013"/>
        <w:gridCol w:w="5506"/>
        <w:gridCol w:w="1546"/>
        <w:gridCol w:w="1431"/>
        <w:gridCol w:w="1616"/>
        <w:gridCol w:w="1197"/>
      </w:tblGrid>
      <w:tr>
        <w:trPr>
          <w:trHeight w:val="453"/>
        </w:trPr>
        <w:tc>
          <w:tcPr>
            <w:tcW w:w="873" w:type="dxa"/>
            <w:tcBorders>
              <w:top w:val="single" w:sz="4" w:space="0" w:color="auto"/>
              <w:left w:val="single" w:sz="4" w:space="0" w:color="auto"/>
              <w:bottom w:val="single" w:sz="4" w:space="0" w:color="auto"/>
              <w:right w:val="single" w:sz="4" w:space="0" w:color="auto"/>
            </w:tcBorders>
            <w:noWrap/>
            <w:vAlign w:val="center"/>
          </w:tcPr>
          <w:p>
            <w:pPr>
              <w:jc w:val="center"/>
              <w:rPr>
                <w:rFonts w:ascii="方正黑体_GBK" w:eastAsia="方正黑体_GBK" w:cs="方正黑体_GBK" w:hint="eastAsia"/>
                <w:sz w:val="24"/>
                <w:szCs w:val="24"/>
                <w:vertAlign w:val="baseline"/>
                <w:lang w:val="en-US" w:eastAsia="zh-CN"/>
              </w:rPr>
            </w:pPr>
            <w:r>
              <w:rPr>
                <w:rFonts w:ascii="方正黑体_GBK" w:eastAsia="方正黑体_GBK" w:cs="方正黑体_GBK" w:hint="eastAsia"/>
                <w:sz w:val="24"/>
                <w:szCs w:val="24"/>
                <w:vertAlign w:val="baseline"/>
                <w:lang w:val="en-US" w:eastAsia="zh-CN"/>
              </w:rPr>
              <w:t>序号</w:t>
            </w:r>
          </w:p>
        </w:tc>
        <w:tc>
          <w:tcPr>
            <w:tcW w:w="1728" w:type="dxa"/>
            <w:tcBorders>
              <w:top w:val="single" w:sz="4" w:space="0" w:color="auto"/>
              <w:left w:val="single" w:sz="4" w:space="0" w:color="auto"/>
              <w:bottom w:val="single" w:sz="4" w:space="0" w:color="auto"/>
              <w:right w:val="single" w:sz="4" w:space="0" w:color="auto"/>
            </w:tcBorders>
            <w:noWrap/>
          </w:tcPr>
          <w:p>
            <w:pPr>
              <w:jc w:val="center"/>
              <w:rPr>
                <w:rFonts w:ascii="方正黑体_GBK" w:eastAsia="方正黑体_GBK" w:cs="方正黑体_GBK"/>
                <w:sz w:val="24"/>
                <w:szCs w:val="24"/>
                <w:vertAlign w:val="baseline"/>
                <w:lang w:val="en-US" w:eastAsia="zh-CN"/>
              </w:rPr>
            </w:pPr>
            <w:r>
              <w:rPr>
                <w:rFonts w:ascii="方正黑体_GBK" w:eastAsia="方正黑体_GBK" w:cs="方正黑体_GBK" w:hint="eastAsia"/>
                <w:sz w:val="24"/>
                <w:szCs w:val="24"/>
                <w:vertAlign w:val="baseline"/>
                <w:lang w:val="en-US" w:eastAsia="zh-CN"/>
              </w:rPr>
              <w:t>行政检查事项</w:t>
            </w:r>
          </w:p>
        </w:tc>
        <w:tc>
          <w:tcPr>
            <w:tcW w:w="6255" w:type="dxa"/>
            <w:gridSpan w:val="2"/>
            <w:tcBorders>
              <w:top w:val="single" w:sz="4" w:space="0" w:color="auto"/>
              <w:left w:val="single" w:sz="4" w:space="0" w:color="auto"/>
              <w:bottom w:val="single" w:sz="4" w:space="0" w:color="auto"/>
              <w:right w:val="single" w:sz="4" w:space="0" w:color="auto"/>
            </w:tcBorders>
            <w:noWrap/>
          </w:tcPr>
          <w:p>
            <w:pPr>
              <w:jc w:val="center"/>
              <w:rPr>
                <w:rFonts w:ascii="方正黑体_GBK" w:eastAsia="方正黑体_GBK" w:cs="方正黑体_GBK"/>
                <w:sz w:val="24"/>
                <w:szCs w:val="24"/>
                <w:vertAlign w:val="baseline"/>
                <w:lang w:val="en-US" w:eastAsia="zh-CN"/>
              </w:rPr>
            </w:pPr>
            <w:r>
              <w:rPr>
                <w:rFonts w:ascii="方正黑体_GBK" w:eastAsia="方正黑体_GBK" w:cs="方正黑体_GBK" w:hint="eastAsia"/>
                <w:sz w:val="24"/>
                <w:szCs w:val="24"/>
                <w:vertAlign w:val="baseline"/>
                <w:lang w:val="en-US" w:eastAsia="zh-CN"/>
              </w:rPr>
              <w:t>行政检查依据</w:t>
            </w:r>
          </w:p>
        </w:tc>
        <w:tc>
          <w:tcPr>
            <w:tcW w:w="1559" w:type="dxa"/>
            <w:tcBorders>
              <w:top w:val="single" w:sz="4" w:space="0" w:color="auto"/>
              <w:left w:val="single" w:sz="4" w:space="0" w:color="auto"/>
              <w:bottom w:val="single" w:sz="4" w:space="0" w:color="auto"/>
              <w:right w:val="single" w:sz="4" w:space="0" w:color="auto"/>
            </w:tcBorders>
            <w:noWrap/>
          </w:tcPr>
          <w:p>
            <w:pPr>
              <w:jc w:val="center"/>
              <w:rPr>
                <w:rFonts w:ascii="方正黑体_GBK" w:eastAsia="方正黑体_GBK" w:cs="方正黑体_GBK"/>
                <w:sz w:val="24"/>
                <w:szCs w:val="24"/>
                <w:vertAlign w:val="baseline"/>
                <w:lang w:val="en-US" w:eastAsia="zh-CN"/>
              </w:rPr>
            </w:pPr>
            <w:r>
              <w:rPr>
                <w:rFonts w:ascii="方正黑体_GBK" w:eastAsia="方正黑体_GBK" w:cs="方正黑体_GBK" w:hint="eastAsia"/>
                <w:sz w:val="24"/>
                <w:szCs w:val="24"/>
                <w:vertAlign w:val="baseline"/>
                <w:lang w:val="en-US" w:eastAsia="zh-CN"/>
              </w:rPr>
              <w:t>实施主体</w:t>
            </w:r>
          </w:p>
        </w:tc>
        <w:tc>
          <w:tcPr>
            <w:tcW w:w="1459" w:type="dxa"/>
            <w:tcBorders>
              <w:top w:val="single" w:sz="4" w:space="0" w:color="auto"/>
              <w:left w:val="single" w:sz="4" w:space="0" w:color="auto"/>
              <w:bottom w:val="single" w:sz="4" w:space="0" w:color="auto"/>
              <w:right w:val="single" w:sz="4" w:space="0" w:color="auto"/>
            </w:tcBorders>
            <w:noWrap/>
          </w:tcPr>
          <w:p>
            <w:pPr>
              <w:jc w:val="center"/>
              <w:rPr>
                <w:rFonts w:ascii="方正黑体_GBK" w:eastAsia="方正黑体_GBK" w:cs="方正黑体_GBK"/>
                <w:sz w:val="24"/>
                <w:szCs w:val="24"/>
                <w:vertAlign w:val="baseline"/>
                <w:lang w:val="en-US" w:eastAsia="zh-CN"/>
              </w:rPr>
            </w:pPr>
            <w:r>
              <w:rPr>
                <w:rFonts w:ascii="方正黑体_GBK" w:eastAsia="方正黑体_GBK" w:cs="方正黑体_GBK" w:hint="eastAsia"/>
                <w:sz w:val="24"/>
                <w:szCs w:val="24"/>
                <w:vertAlign w:val="baseline"/>
                <w:lang w:val="en-US" w:eastAsia="zh-CN"/>
              </w:rPr>
              <w:t>检查对象</w:t>
            </w:r>
          </w:p>
        </w:tc>
        <w:tc>
          <w:tcPr>
            <w:tcW w:w="1620" w:type="dxa"/>
            <w:tcBorders>
              <w:top w:val="single" w:sz="4" w:space="0" w:color="auto"/>
              <w:left w:val="single" w:sz="4" w:space="0" w:color="auto"/>
              <w:bottom w:val="single" w:sz="4" w:space="0" w:color="auto"/>
              <w:right w:val="single" w:sz="4" w:space="0" w:color="auto"/>
            </w:tcBorders>
            <w:noWrap/>
          </w:tcPr>
          <w:p>
            <w:pPr>
              <w:jc w:val="center"/>
              <w:rPr>
                <w:rFonts w:ascii="方正黑体_GBK" w:eastAsia="方正黑体_GBK" w:cs="方正黑体_GBK"/>
                <w:sz w:val="24"/>
                <w:szCs w:val="24"/>
                <w:vertAlign w:val="baseline"/>
                <w:lang w:val="en-US" w:eastAsia="zh-CN"/>
              </w:rPr>
            </w:pPr>
            <w:r>
              <w:rPr>
                <w:rFonts w:ascii="方正黑体_GBK" w:eastAsia="方正黑体_GBK" w:cs="方正黑体_GBK" w:hint="eastAsia"/>
                <w:sz w:val="24"/>
                <w:szCs w:val="24"/>
                <w:vertAlign w:val="baseline"/>
                <w:lang w:val="en-US" w:eastAsia="zh-CN"/>
              </w:rPr>
              <w:t>检查标准</w:t>
            </w:r>
          </w:p>
        </w:tc>
        <w:tc>
          <w:tcPr>
            <w:tcW w:w="1256" w:type="dxa"/>
            <w:tcBorders>
              <w:top w:val="single" w:sz="4" w:space="0" w:color="auto"/>
              <w:left w:val="single" w:sz="4" w:space="0" w:color="auto"/>
              <w:bottom w:val="single" w:sz="4" w:space="0" w:color="auto"/>
              <w:right w:val="single" w:sz="4" w:space="0" w:color="auto"/>
            </w:tcBorders>
            <w:noWrap/>
          </w:tcPr>
          <w:p>
            <w:pPr>
              <w:jc w:val="center"/>
              <w:rPr>
                <w:rFonts w:ascii="方正黑体_GBK" w:eastAsia="方正黑体_GBK" w:cs="方正黑体_GBK"/>
                <w:sz w:val="24"/>
                <w:szCs w:val="24"/>
                <w:vertAlign w:val="baseline"/>
                <w:lang w:val="en-US" w:eastAsia="zh-CN"/>
              </w:rPr>
            </w:pPr>
            <w:r>
              <w:rPr>
                <w:rFonts w:ascii="方正黑体_GBK" w:eastAsia="方正黑体_GBK" w:cs="方正黑体_GBK" w:hint="eastAsia"/>
                <w:sz w:val="24"/>
                <w:szCs w:val="24"/>
                <w:vertAlign w:val="baseline"/>
                <w:lang w:val="en-US" w:eastAsia="zh-CN"/>
              </w:rPr>
              <w:t>检查方式</w:t>
            </w:r>
          </w:p>
        </w:tc>
      </w:tr>
      <w:tr>
        <w:trPr>
          <w:trHeight w:val="3893"/>
        </w:trPr>
        <w:tc>
          <w:tcPr>
            <w:tcW w:w="873" w:type="dxa"/>
            <w:tcBorders>
              <w:top w:val="single" w:sz="4" w:space="0" w:color="auto"/>
              <w:left w:val="single" w:sz="4" w:space="0" w:color="auto"/>
              <w:bottom w:val="single" w:sz="4" w:space="0" w:color="auto"/>
              <w:right w:val="single" w:sz="4" w:space="0" w:color="auto"/>
            </w:tcBorders>
            <w:noWrap/>
            <w:vAlign w:val="center"/>
          </w:tcPr>
          <w:p>
            <w:pPr>
              <w:jc w:val="center"/>
              <w:rPr>
                <w:rFonts w:eastAsia="仿宋_GB2312" w:hint="eastAsia"/>
                <w:sz w:val="24"/>
                <w:szCs w:val="24"/>
                <w:vertAlign w:val="baseline"/>
                <w:lang w:val="en-US" w:eastAsia="zh-CN"/>
              </w:rPr>
            </w:pPr>
            <w:r>
              <w:rPr>
                <w:rFonts w:hint="eastAsia"/>
                <w:sz w:val="24"/>
                <w:szCs w:val="24"/>
                <w:vertAlign w:val="baseline"/>
                <w:lang w:val="en-US" w:eastAsia="zh-CN"/>
              </w:rPr>
              <w:t>1</w:t>
            </w:r>
          </w:p>
        </w:tc>
        <w:tc>
          <w:tcPr>
            <w:tcW w:w="172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eastAsia="仿宋_GB2312"/>
                <w:sz w:val="24"/>
                <w:szCs w:val="24"/>
                <w:vertAlign w:val="baseline"/>
                <w:lang w:val="en-US" w:eastAsia="zh-CN"/>
              </w:rPr>
            </w:pPr>
            <w:r>
              <w:rPr>
                <w:rFonts w:hint="eastAsia"/>
                <w:sz w:val="24"/>
                <w:szCs w:val="24"/>
                <w:vertAlign w:val="baseline"/>
                <w:lang w:val="en-US" w:eastAsia="zh-CN"/>
              </w:rPr>
              <w:t>对建设项目参建主体执行建设工程质量</w:t>
            </w:r>
            <w:r>
              <w:rPr>
                <w:rFonts w:hint="eastAsia"/>
                <w:sz w:val="24"/>
                <w:szCs w:val="24"/>
                <w:vertAlign w:val="baseline"/>
              </w:rPr>
              <w:t>的法律、法规和强制性标准情况的检查</w:t>
            </w:r>
          </w:p>
        </w:tc>
        <w:tc>
          <w:tcPr>
            <w:tcW w:w="1096"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eastAsia="仿宋_GB2312" w:hint="eastAsia"/>
                <w:sz w:val="24"/>
                <w:szCs w:val="24"/>
                <w:vertAlign w:val="baseline"/>
                <w:lang w:eastAsia="zh-CN"/>
              </w:rPr>
            </w:pPr>
            <w:r>
              <w:rPr>
                <w:rFonts w:hint="eastAsia"/>
                <w:sz w:val="24"/>
                <w:szCs w:val="24"/>
                <w:vertAlign w:val="baseline"/>
                <w:lang w:eastAsia="zh-CN"/>
              </w:rPr>
              <w:t>《建设工程质量管理条例》</w:t>
            </w:r>
          </w:p>
        </w:tc>
        <w:tc>
          <w:tcPr>
            <w:tcW w:w="515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第四条　县级以上人民政府建设行政主管部门和其他有关部门应当加强对建设工程质量的监督管理。</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第四十七条　县级以上地方人民政府建设行政主管部门和其他有关部门应当加强对有关建设工程质量的法律、法规和强制性标准执行情况的监督检查。</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第四十八条　县级以上人民政府建设行政主管部门和其他有关部门履行监督检查职责时，有权采取下列措施：</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(一)要求被检查的单位提供有关工程质量的文件和资料；</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(二)进入被检查单位的施工现场进行检查；</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(三)发现有影响工程质量的问题时，责令改正。</w:t>
            </w:r>
          </w:p>
        </w:tc>
        <w:tc>
          <w:tcPr>
            <w:tcW w:w="155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sz w:val="24"/>
                <w:szCs w:val="24"/>
                <w:vertAlign w:val="baseline"/>
                <w:lang w:val="en-US" w:eastAsia="zh-CN"/>
              </w:rPr>
            </w:pPr>
            <w:r>
              <w:rPr>
                <w:rFonts w:hint="eastAsia"/>
                <w:sz w:val="24"/>
                <w:szCs w:val="24"/>
                <w:vertAlign w:val="baseline"/>
                <w:lang w:val="en-US" w:eastAsia="zh-CN"/>
              </w:rPr>
              <w:t>宿城区住房和城乡建设局</w:t>
            </w:r>
          </w:p>
        </w:tc>
        <w:tc>
          <w:tcPr>
            <w:tcW w:w="145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eastAsia="仿宋_GB2312"/>
                <w:sz w:val="24"/>
                <w:szCs w:val="24"/>
                <w:vertAlign w:val="baseline"/>
                <w:lang w:val="en-US" w:eastAsia="zh-CN"/>
              </w:rPr>
            </w:pPr>
            <w:r>
              <w:rPr>
                <w:rFonts w:hint="eastAsia"/>
                <w:sz w:val="24"/>
                <w:szCs w:val="24"/>
                <w:vertAlign w:val="baseline"/>
                <w:lang w:val="en-US" w:eastAsia="zh-CN"/>
              </w:rPr>
              <w:t>建设项目各参建主体</w:t>
            </w:r>
          </w:p>
        </w:tc>
        <w:tc>
          <w:tcPr>
            <w:tcW w:w="1620"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eastAsia="仿宋_GB2312"/>
                <w:sz w:val="24"/>
                <w:szCs w:val="24"/>
                <w:vertAlign w:val="baseline"/>
                <w:lang w:val="en-US" w:eastAsia="zh-CN"/>
              </w:rPr>
            </w:pPr>
            <w:r>
              <w:rPr>
                <w:rFonts w:hint="eastAsia"/>
                <w:sz w:val="24"/>
                <w:szCs w:val="24"/>
                <w:vertAlign w:val="baseline"/>
                <w:lang w:val="en-US" w:eastAsia="zh-CN"/>
              </w:rPr>
              <w:t>未有违反建设工程质量</w:t>
            </w:r>
            <w:r>
              <w:rPr>
                <w:rFonts w:hint="eastAsia"/>
                <w:sz w:val="24"/>
                <w:szCs w:val="24"/>
                <w:vertAlign w:val="baseline"/>
              </w:rPr>
              <w:t>的法律、法规和强制性标准</w:t>
            </w:r>
            <w:r>
              <w:rPr>
                <w:rFonts w:hint="eastAsia"/>
                <w:sz w:val="24"/>
                <w:szCs w:val="24"/>
                <w:vertAlign w:val="baseline"/>
                <w:lang w:val="en-US" w:eastAsia="zh-CN"/>
              </w:rPr>
              <w:t>的情形</w:t>
            </w:r>
          </w:p>
        </w:tc>
        <w:tc>
          <w:tcPr>
            <w:tcW w:w="1256"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sz w:val="24"/>
                <w:szCs w:val="24"/>
                <w:vertAlign w:val="baseline"/>
                <w:lang w:val="en-US" w:eastAsia="zh-CN"/>
              </w:rPr>
            </w:pPr>
            <w:r>
              <w:rPr>
                <w:rFonts w:hint="eastAsia"/>
                <w:sz w:val="24"/>
                <w:szCs w:val="24"/>
                <w:vertAlign w:val="baseline"/>
                <w:lang w:val="en-US" w:eastAsia="zh-CN"/>
              </w:rPr>
              <w:t>现场检查</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sz w:val="24"/>
                <w:szCs w:val="24"/>
                <w:vertAlign w:val="baseline"/>
                <w:lang w:val="en-US" w:eastAsia="zh-CN"/>
              </w:rPr>
            </w:pPr>
            <w:r>
              <w:rPr>
                <w:rFonts w:hint="eastAsia"/>
                <w:sz w:val="24"/>
                <w:szCs w:val="24"/>
                <w:vertAlign w:val="baseline"/>
                <w:lang w:val="en-US" w:eastAsia="zh-CN"/>
              </w:rPr>
              <w:t>书</w:t>
            </w:r>
            <w:bookmarkStart w:id="0" w:name="_GoBack"/>
            <w:bookmarkEnd w:id="0"/>
            <w:r>
              <w:rPr>
                <w:rFonts w:hint="eastAsia"/>
                <w:sz w:val="24"/>
                <w:szCs w:val="24"/>
                <w:vertAlign w:val="baseline"/>
                <w:lang w:val="en-US" w:eastAsia="zh-CN"/>
              </w:rPr>
              <w:t>面检查</w:t>
            </w:r>
          </w:p>
        </w:tc>
      </w:tr>
      <w:tr>
        <w:trPr>
          <w:trHeight w:val="1965"/>
        </w:trPr>
        <w:tc>
          <w:tcPr>
            <w:tcW w:w="873" w:type="dxa"/>
            <w:tcBorders>
              <w:top w:val="single" w:sz="4" w:space="0" w:color="auto"/>
              <w:left w:val="single" w:sz="4" w:space="0" w:color="auto"/>
              <w:bottom w:val="single" w:sz="4" w:space="0" w:color="auto"/>
              <w:right w:val="single" w:sz="4" w:space="0" w:color="auto"/>
            </w:tcBorders>
            <w:noWrap/>
            <w:vAlign w:val="center"/>
          </w:tcPr>
          <w:p>
            <w:pPr>
              <w:jc w:val="center"/>
              <w:rPr>
                <w:rFonts w:eastAsia="仿宋_GB2312" w:hint="eastAsia"/>
                <w:sz w:val="24"/>
                <w:szCs w:val="24"/>
                <w:vertAlign w:val="baseline"/>
                <w:lang w:val="en-US" w:eastAsia="zh-CN"/>
              </w:rPr>
            </w:pPr>
            <w:r>
              <w:rPr>
                <w:rFonts w:hint="eastAsia"/>
                <w:sz w:val="24"/>
                <w:szCs w:val="24"/>
                <w:vertAlign w:val="baseline"/>
                <w:lang w:val="en-US" w:eastAsia="zh-CN"/>
              </w:rPr>
              <w:t>2</w:t>
            </w:r>
          </w:p>
        </w:tc>
        <w:tc>
          <w:tcPr>
            <w:tcW w:w="172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sz w:val="24"/>
                <w:szCs w:val="24"/>
                <w:vertAlign w:val="baseline"/>
              </w:rPr>
            </w:pPr>
            <w:r>
              <w:rPr>
                <w:rFonts w:hint="eastAsia"/>
                <w:sz w:val="24"/>
                <w:szCs w:val="24"/>
                <w:vertAlign w:val="baseline"/>
                <w:lang w:val="en-US" w:eastAsia="zh-CN"/>
              </w:rPr>
              <w:t>对建设项目参建主体</w:t>
            </w:r>
            <w:r>
              <w:rPr>
                <w:rFonts w:hint="eastAsia"/>
                <w:sz w:val="24"/>
                <w:szCs w:val="24"/>
                <w:vertAlign w:val="baseline"/>
              </w:rPr>
              <w:t>安全生产</w:t>
            </w:r>
            <w:r>
              <w:rPr>
                <w:rFonts w:hint="eastAsia"/>
                <w:sz w:val="24"/>
                <w:szCs w:val="24"/>
                <w:vertAlign w:val="baseline"/>
                <w:lang w:val="en-US" w:eastAsia="zh-CN"/>
              </w:rPr>
              <w:t>情况的检查</w:t>
            </w:r>
          </w:p>
        </w:tc>
        <w:tc>
          <w:tcPr>
            <w:tcW w:w="1096"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eastAsia="仿宋_GB2312" w:hint="eastAsia"/>
                <w:sz w:val="24"/>
                <w:szCs w:val="24"/>
                <w:vertAlign w:val="baseline"/>
                <w:lang w:eastAsia="zh-CN"/>
              </w:rPr>
            </w:pPr>
            <w:r>
              <w:rPr>
                <w:rFonts w:hint="eastAsia"/>
                <w:sz w:val="24"/>
                <w:szCs w:val="24"/>
                <w:vertAlign w:val="baseline"/>
                <w:lang w:eastAsia="zh-CN"/>
              </w:rPr>
              <w:t>《建设工程安全生产管理条例》</w:t>
            </w:r>
          </w:p>
        </w:tc>
        <w:tc>
          <w:tcPr>
            <w:tcW w:w="515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第四十条　县级以上地方人民政府建设行政主管部门对本行政区域内的建设工程安全生产实施监督管理。县级以上地方人民政府交通、水利等有关部门在各自的职责范围内，负责本行政区域内的专业建设工程安全生产的监督管理。</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第四十三条　县级以上人民政府负有建设工程安全生产监督管理职责的部门在各自的职责范围内履行安全监督检查职责时，有权采取下列措施：</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(一)要求被检查单位提供有关建设工程安全生产的文件和资料；</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(二)进入被检查单位施工现场进行检查；</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(三)纠正施工中违反安全生产要求的行为；</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(四)对检查中发现的安全事故隐患，责令立即排除；重大安全事故隐患排除前或者排除过程中无法保证安全的，责令从危险区域内撤出作业人员或者暂时停止施工。</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第四十四条　建设行政主管部门或者其他有关部门可以将施工现场的监督检查委托给建设工程安全监督机构具体实施。</w:t>
            </w:r>
          </w:p>
        </w:tc>
        <w:tc>
          <w:tcPr>
            <w:tcW w:w="155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lang w:val="en-US" w:eastAsia="zh-CN"/>
              </w:rPr>
              <w:t>宿城区住房和城乡建设局</w:t>
            </w:r>
          </w:p>
        </w:tc>
        <w:tc>
          <w:tcPr>
            <w:tcW w:w="145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lang w:val="en-US" w:eastAsia="zh-CN"/>
              </w:rPr>
              <w:t>建设项目各参建主体</w:t>
            </w:r>
          </w:p>
        </w:tc>
        <w:tc>
          <w:tcPr>
            <w:tcW w:w="1620"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sz w:val="24"/>
                <w:szCs w:val="24"/>
                <w:vertAlign w:val="baseline"/>
              </w:rPr>
            </w:pPr>
            <w:r>
              <w:rPr>
                <w:rFonts w:hint="eastAsia"/>
                <w:sz w:val="24"/>
                <w:szCs w:val="24"/>
                <w:vertAlign w:val="baseline"/>
                <w:lang w:val="en-US" w:eastAsia="zh-CN"/>
              </w:rPr>
              <w:t>未有违反建设工程安全管理</w:t>
            </w:r>
            <w:r>
              <w:rPr>
                <w:rFonts w:hint="eastAsia"/>
                <w:sz w:val="24"/>
                <w:szCs w:val="24"/>
                <w:vertAlign w:val="baseline"/>
              </w:rPr>
              <w:t>法律、法规和强制性标准</w:t>
            </w:r>
            <w:r>
              <w:rPr>
                <w:rFonts w:hint="eastAsia"/>
                <w:sz w:val="24"/>
                <w:szCs w:val="24"/>
                <w:vertAlign w:val="baseline"/>
                <w:lang w:val="en-US" w:eastAsia="zh-CN"/>
              </w:rPr>
              <w:t>的情形</w:t>
            </w:r>
          </w:p>
        </w:tc>
        <w:tc>
          <w:tcPr>
            <w:tcW w:w="1256"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sz w:val="24"/>
                <w:szCs w:val="24"/>
                <w:vertAlign w:val="baseline"/>
                <w:lang w:val="en-US" w:eastAsia="zh-CN"/>
              </w:rPr>
            </w:pPr>
            <w:r>
              <w:rPr>
                <w:rFonts w:hint="eastAsia"/>
                <w:sz w:val="24"/>
                <w:szCs w:val="24"/>
                <w:vertAlign w:val="baseline"/>
                <w:lang w:val="en-US" w:eastAsia="zh-CN"/>
              </w:rPr>
              <w:t>现场检查</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sz w:val="24"/>
                <w:szCs w:val="24"/>
                <w:vertAlign w:val="baseline"/>
                <w:lang w:val="en-US" w:eastAsia="zh-CN"/>
              </w:rPr>
            </w:pPr>
            <w:r>
              <w:rPr>
                <w:rFonts w:hint="eastAsia"/>
                <w:sz w:val="24"/>
                <w:szCs w:val="24"/>
                <w:vertAlign w:val="baseline"/>
                <w:lang w:val="en-US" w:eastAsia="zh-CN"/>
              </w:rPr>
              <w:t>书面检查</w:t>
            </w:r>
          </w:p>
        </w:tc>
      </w:tr>
      <w:tr>
        <w:trPr>
          <w:trHeight w:val="2537"/>
        </w:trPr>
        <w:tc>
          <w:tcPr>
            <w:tcW w:w="873" w:type="dxa"/>
            <w:tcBorders>
              <w:top w:val="single" w:sz="4" w:space="0" w:color="auto"/>
              <w:left w:val="single" w:sz="4" w:space="0" w:color="auto"/>
              <w:bottom w:val="single" w:sz="4" w:space="0" w:color="auto"/>
              <w:right w:val="single" w:sz="4" w:space="0" w:color="auto"/>
            </w:tcBorders>
            <w:noWrap/>
            <w:vAlign w:val="center"/>
          </w:tcPr>
          <w:p>
            <w:pPr>
              <w:jc w:val="center"/>
              <w:rPr>
                <w:rFonts w:eastAsia="仿宋_GB2312" w:hint="eastAsia"/>
                <w:sz w:val="24"/>
                <w:szCs w:val="24"/>
                <w:vertAlign w:val="baseline"/>
                <w:lang w:val="en-US" w:eastAsia="zh-CN"/>
              </w:rPr>
            </w:pPr>
            <w:r>
              <w:rPr>
                <w:rFonts w:hint="eastAsia"/>
                <w:sz w:val="24"/>
                <w:szCs w:val="24"/>
                <w:vertAlign w:val="baseline"/>
                <w:lang w:val="en-US" w:eastAsia="zh-CN"/>
              </w:rPr>
              <w:t>3</w:t>
            </w:r>
          </w:p>
        </w:tc>
        <w:tc>
          <w:tcPr>
            <w:tcW w:w="172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eastAsia="仿宋_GB2312"/>
                <w:sz w:val="24"/>
                <w:szCs w:val="24"/>
                <w:vertAlign w:val="baseline"/>
                <w:lang w:val="en-US" w:eastAsia="zh-CN"/>
              </w:rPr>
            </w:pPr>
            <w:r>
              <w:rPr>
                <w:rFonts w:hint="eastAsia"/>
                <w:sz w:val="24"/>
                <w:szCs w:val="24"/>
                <w:vertAlign w:val="baseline"/>
                <w:lang w:val="en-US" w:eastAsia="zh-CN"/>
              </w:rPr>
              <w:t>对建设项目农民工工资保障情况的检查</w:t>
            </w:r>
          </w:p>
        </w:tc>
        <w:tc>
          <w:tcPr>
            <w:tcW w:w="1096"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eastAsia="仿宋_GB2312" w:hint="eastAsia"/>
                <w:sz w:val="24"/>
                <w:szCs w:val="24"/>
                <w:vertAlign w:val="baseline"/>
                <w:lang w:eastAsia="zh-CN"/>
              </w:rPr>
            </w:pPr>
            <w:r>
              <w:rPr>
                <w:rFonts w:hint="eastAsia"/>
                <w:sz w:val="24"/>
                <w:szCs w:val="24"/>
                <w:vertAlign w:val="baseline"/>
                <w:lang w:eastAsia="zh-CN"/>
              </w:rPr>
              <w:t>《保障农民工工资支付条例》</w:t>
            </w:r>
          </w:p>
        </w:tc>
        <w:tc>
          <w:tcPr>
            <w:tcW w:w="515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sz w:val="24"/>
                <w:szCs w:val="24"/>
                <w:vertAlign w:val="baseline"/>
              </w:rPr>
            </w:pPr>
            <w:r>
              <w:rPr>
                <w:rFonts w:hint="eastAsia"/>
                <w:sz w:val="24"/>
                <w:szCs w:val="24"/>
                <w:vertAlign w:val="baseline"/>
              </w:rPr>
              <w:t>第三十九条　人力资源社会保障行政部门、相关行业工程建设主管部门和其他有关部门应当按照职责，加强对用人单位与农民工签订劳动合同、工资支付以及工程建设项目实行农民工实名制管理、农民工工资专用账户管理、施工总承包单位代发工资、工资保证金存储、维权信息公示等情况的监督检查，预防和减少拖欠农民工工资行为的发生。</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ascii="Times New Roman" w:eastAsia="仿宋_GB2312" w:cs="Arial" w:hAnsi="Times New Roman" w:hint="eastAsia"/>
                <w:kern w:val="2"/>
                <w:sz w:val="24"/>
                <w:szCs w:val="24"/>
                <w:vertAlign w:val="baseline"/>
                <w:lang w:val="en-US" w:eastAsia="zh-CN" w:bidi="ar-SA"/>
              </w:rPr>
            </w:pPr>
            <w:r>
              <w:rPr>
                <w:rFonts w:hint="eastAsia"/>
                <w:sz w:val="24"/>
                <w:szCs w:val="24"/>
                <w:vertAlign w:val="baseline"/>
                <w:lang w:val="en-US" w:eastAsia="zh-CN"/>
              </w:rPr>
              <w:t>宿城区住房和城乡建设局</w:t>
            </w:r>
          </w:p>
        </w:tc>
        <w:tc>
          <w:tcPr>
            <w:tcW w:w="1459" w:type="dxa"/>
            <w:tcBorders>
              <w:top w:val="single" w:sz="4" w:space="0" w:color="auto"/>
              <w:left w:val="single" w:sz="4" w:space="0" w:color="auto"/>
              <w:bottom w:val="single" w:sz="4" w:space="0" w:color="auto"/>
              <w:right w:val="single" w:sz="4" w:space="0" w:color="auto"/>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ascii="Times New Roman" w:eastAsia="仿宋_GB2312" w:cs="Arial" w:hAnsi="Times New Roman" w:hint="eastAsia"/>
                <w:kern w:val="2"/>
                <w:sz w:val="24"/>
                <w:szCs w:val="24"/>
                <w:vertAlign w:val="baseline"/>
                <w:lang w:val="en-US" w:eastAsia="zh-CN" w:bidi="ar-SA"/>
              </w:rPr>
            </w:pPr>
            <w:r>
              <w:rPr>
                <w:rFonts w:hint="eastAsia"/>
                <w:sz w:val="24"/>
                <w:szCs w:val="24"/>
                <w:vertAlign w:val="baseline"/>
                <w:lang w:val="en-US" w:eastAsia="zh-CN"/>
              </w:rPr>
              <w:t>建设项目相关参建主体</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ascii="Times New Roman" w:eastAsia="仿宋_GB2312" w:cs="Arial" w:hAnsi="Times New Roman" w:hint="eastAsia"/>
                <w:kern w:val="2"/>
                <w:sz w:val="24"/>
                <w:szCs w:val="24"/>
                <w:vertAlign w:val="baseline"/>
                <w:lang w:val="en-US" w:eastAsia="zh-CN" w:bidi="ar-SA"/>
              </w:rPr>
            </w:pPr>
            <w:r>
              <w:rPr>
                <w:rFonts w:hint="eastAsia"/>
                <w:sz w:val="24"/>
                <w:szCs w:val="24"/>
                <w:vertAlign w:val="baseline"/>
                <w:lang w:val="en-US" w:eastAsia="zh-CN"/>
              </w:rPr>
              <w:t>未有违反保障农民工工资支付方面</w:t>
            </w:r>
            <w:r>
              <w:rPr>
                <w:rFonts w:hint="eastAsia"/>
                <w:sz w:val="24"/>
                <w:szCs w:val="24"/>
                <w:vertAlign w:val="baseline"/>
              </w:rPr>
              <w:t>法律、法规</w:t>
            </w:r>
            <w:r>
              <w:rPr>
                <w:rFonts w:hint="eastAsia"/>
                <w:sz w:val="24"/>
                <w:szCs w:val="24"/>
                <w:vertAlign w:val="baseline"/>
                <w:lang w:val="en-US" w:eastAsia="zh-CN"/>
              </w:rPr>
              <w:t>的情形</w:t>
            </w:r>
          </w:p>
        </w:tc>
        <w:tc>
          <w:tcPr>
            <w:tcW w:w="1256" w:type="dxa"/>
            <w:tcBorders>
              <w:top w:val="single" w:sz="4" w:space="0" w:color="auto"/>
              <w:left w:val="single" w:sz="4" w:space="0" w:color="auto"/>
              <w:bottom w:val="single" w:sz="4" w:space="0" w:color="auto"/>
              <w:right w:val="single" w:sz="4" w:space="0" w:color="auto"/>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sz w:val="24"/>
                <w:szCs w:val="24"/>
                <w:vertAlign w:val="baseline"/>
                <w:lang w:val="en-US" w:eastAsia="zh-CN"/>
              </w:rPr>
            </w:pPr>
            <w:r>
              <w:rPr>
                <w:rFonts w:hint="eastAsia"/>
                <w:sz w:val="24"/>
                <w:szCs w:val="24"/>
                <w:vertAlign w:val="baseline"/>
                <w:lang w:val="en-US" w:eastAsia="zh-CN"/>
              </w:rPr>
              <w:t>现场检查</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eastAsia="仿宋_GB2312" w:cs="Arial" w:hAnsi="Times New Roman" w:hint="eastAsia"/>
                <w:kern w:val="2"/>
                <w:sz w:val="24"/>
                <w:szCs w:val="24"/>
                <w:vertAlign w:val="baseline"/>
                <w:lang w:val="en-US" w:eastAsia="zh-CN" w:bidi="ar-SA"/>
              </w:rPr>
            </w:pPr>
            <w:r>
              <w:rPr>
                <w:rFonts w:hint="eastAsia"/>
                <w:sz w:val="24"/>
                <w:szCs w:val="24"/>
                <w:vertAlign w:val="baseline"/>
                <w:lang w:val="en-US" w:eastAsia="zh-CN"/>
              </w:rPr>
              <w:t>书面检查</w:t>
            </w:r>
          </w:p>
        </w:tc>
      </w:tr>
      <w:tr>
        <w:trPr>
          <w:trHeight w:val="5030"/>
        </w:trPr>
        <w:tc>
          <w:tcPr>
            <w:tcW w:w="873" w:type="dxa"/>
            <w:tcBorders>
              <w:top w:val="single" w:sz="4" w:space="0" w:color="auto"/>
              <w:left w:val="single" w:sz="4" w:space="0" w:color="auto"/>
              <w:bottom w:val="single" w:sz="4" w:space="0" w:color="auto"/>
              <w:right w:val="single" w:sz="4" w:space="0" w:color="auto"/>
            </w:tcBorders>
            <w:noWrap/>
            <w:vAlign w:val="center"/>
          </w:tcPr>
          <w:p>
            <w:pPr>
              <w:jc w:val="center"/>
              <w:rPr>
                <w:sz w:val="24"/>
                <w:szCs w:val="24"/>
                <w:vertAlign w:val="baseline"/>
                <w:lang w:val="en-US" w:eastAsia="zh-CN"/>
              </w:rPr>
            </w:pPr>
            <w:r>
              <w:rPr>
                <w:rFonts w:hint="eastAsia"/>
                <w:sz w:val="24"/>
                <w:szCs w:val="24"/>
                <w:vertAlign w:val="baseline"/>
                <w:lang w:val="en-US" w:eastAsia="zh-CN"/>
              </w:rPr>
              <w:t>4</w:t>
            </w:r>
          </w:p>
        </w:tc>
        <w:tc>
          <w:tcPr>
            <w:tcW w:w="172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eastAsia="仿宋_GB2312"/>
                <w:sz w:val="24"/>
                <w:szCs w:val="24"/>
                <w:vertAlign w:val="baseline"/>
                <w:lang w:val="en-US" w:eastAsia="zh-CN"/>
              </w:rPr>
            </w:pPr>
            <w:r>
              <w:rPr>
                <w:rFonts w:hint="eastAsia"/>
                <w:sz w:val="24"/>
                <w:szCs w:val="24"/>
                <w:vertAlign w:val="baseline"/>
                <w:lang w:val="en-US" w:eastAsia="zh-CN"/>
              </w:rPr>
              <w:t>对建筑企业资质维护使用及市场行为的检查</w:t>
            </w:r>
          </w:p>
        </w:tc>
        <w:tc>
          <w:tcPr>
            <w:tcW w:w="1096"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sz w:val="24"/>
                <w:szCs w:val="24"/>
                <w:vertAlign w:val="baseline"/>
                <w:lang w:eastAsia="zh-CN"/>
              </w:rPr>
            </w:pPr>
            <w:r>
              <w:rPr>
                <w:rFonts w:hint="eastAsia"/>
                <w:sz w:val="24"/>
                <w:szCs w:val="24"/>
                <w:vertAlign w:val="baseline"/>
                <w:lang w:eastAsia="zh-CN"/>
              </w:rPr>
              <w:t>《建筑业企业资质管理规定》</w:t>
            </w:r>
          </w:p>
        </w:tc>
        <w:tc>
          <w:tcPr>
            <w:tcW w:w="515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第二十四条　县级以上人民政府住房城乡建设主管部门和其他有关部门应当依照有关法律、法规和本规定，加强对企业取得建筑业企业资质后是否满足资质标准和市场行为的监督管理。</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第二十五条　住房城乡建设主管部门、其他有关部门的监督检查人员履行监督检查职责时，有权采取下列措施：</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　　（一）要求被检查企业提供建筑业企业资质证书、企业有关人员的注册执业证书、职称证书、岗位证书和考核或者培训合格证书，有关施工业务的文档，有关质量管理、安全生产管理、合同管理、档案管理、财务管理等企业内部管理制度的文件；</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　　（二）进入被检查企业进行检查，查阅相关资料；</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　　（三）纠正违反有关法律、法规和本规定及有关规范和标准的行为。</w:t>
            </w:r>
          </w:p>
        </w:tc>
        <w:tc>
          <w:tcPr>
            <w:tcW w:w="155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lang w:val="en-US" w:eastAsia="zh-CN"/>
              </w:rPr>
              <w:t>宿城区住房和城乡建设局</w:t>
            </w:r>
          </w:p>
        </w:tc>
        <w:tc>
          <w:tcPr>
            <w:tcW w:w="145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eastAsia="仿宋_GB2312"/>
                <w:sz w:val="24"/>
                <w:szCs w:val="24"/>
                <w:vertAlign w:val="baseline"/>
                <w:lang w:val="en-US" w:eastAsia="zh-CN"/>
              </w:rPr>
            </w:pPr>
            <w:r>
              <w:rPr>
                <w:rFonts w:hint="eastAsia"/>
                <w:sz w:val="24"/>
                <w:szCs w:val="24"/>
                <w:vertAlign w:val="baseline"/>
                <w:lang w:val="en-US" w:eastAsia="zh-CN"/>
              </w:rPr>
              <w:t>建筑业企业</w:t>
            </w:r>
          </w:p>
        </w:tc>
        <w:tc>
          <w:tcPr>
            <w:tcW w:w="1620"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sz w:val="24"/>
                <w:szCs w:val="24"/>
                <w:vertAlign w:val="baseline"/>
              </w:rPr>
            </w:pPr>
            <w:r>
              <w:rPr>
                <w:rFonts w:hint="eastAsia"/>
                <w:sz w:val="24"/>
                <w:szCs w:val="24"/>
                <w:vertAlign w:val="baseline"/>
                <w:lang w:val="en-US" w:eastAsia="zh-CN"/>
              </w:rPr>
              <w:t>未有违反建筑企业资质管理方面</w:t>
            </w:r>
            <w:r>
              <w:rPr>
                <w:rFonts w:hint="eastAsia"/>
                <w:sz w:val="24"/>
                <w:szCs w:val="24"/>
                <w:vertAlign w:val="baseline"/>
              </w:rPr>
              <w:t>法律、法规</w:t>
            </w:r>
            <w:r>
              <w:rPr>
                <w:rFonts w:hint="eastAsia"/>
                <w:sz w:val="24"/>
                <w:szCs w:val="24"/>
                <w:vertAlign w:val="baseline"/>
                <w:lang w:val="en-US" w:eastAsia="zh-CN"/>
              </w:rPr>
              <w:t>的情形</w:t>
            </w:r>
          </w:p>
        </w:tc>
        <w:tc>
          <w:tcPr>
            <w:tcW w:w="1256"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sz w:val="24"/>
                <w:szCs w:val="24"/>
                <w:vertAlign w:val="baseline"/>
                <w:lang w:val="en-US" w:eastAsia="zh-CN"/>
              </w:rPr>
            </w:pPr>
            <w:r>
              <w:rPr>
                <w:rFonts w:hint="eastAsia"/>
                <w:sz w:val="24"/>
                <w:szCs w:val="24"/>
                <w:vertAlign w:val="baseline"/>
                <w:lang w:val="en-US" w:eastAsia="zh-CN"/>
              </w:rPr>
              <w:t>现场检查</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lang w:val="en-US" w:eastAsia="zh-CN"/>
              </w:rPr>
              <w:t>书面检查</w:t>
            </w:r>
          </w:p>
        </w:tc>
      </w:tr>
      <w:tr>
        <w:trPr>
          <w:trHeight w:val="2195"/>
        </w:trPr>
        <w:tc>
          <w:tcPr>
            <w:tcW w:w="873" w:type="dxa"/>
            <w:tcBorders>
              <w:top w:val="single" w:sz="4" w:space="0" w:color="auto"/>
              <w:left w:val="single" w:sz="4" w:space="0" w:color="auto"/>
              <w:bottom w:val="single" w:sz="4" w:space="0" w:color="auto"/>
              <w:right w:val="single" w:sz="4" w:space="0" w:color="auto"/>
            </w:tcBorders>
            <w:noWrap/>
            <w:vAlign w:val="center"/>
          </w:tcPr>
          <w:p>
            <w:pPr>
              <w:jc w:val="center"/>
              <w:rPr>
                <w:sz w:val="24"/>
                <w:szCs w:val="24"/>
                <w:vertAlign w:val="baseline"/>
                <w:lang w:val="en-US" w:eastAsia="zh-CN"/>
              </w:rPr>
            </w:pPr>
            <w:r>
              <w:rPr>
                <w:rFonts w:hint="eastAsia"/>
                <w:sz w:val="24"/>
                <w:szCs w:val="24"/>
                <w:vertAlign w:val="baseline"/>
                <w:lang w:val="en-US" w:eastAsia="zh-CN"/>
              </w:rPr>
              <w:t>5</w:t>
            </w:r>
          </w:p>
        </w:tc>
        <w:tc>
          <w:tcPr>
            <w:tcW w:w="172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eastAsia="仿宋_GB2312"/>
                <w:sz w:val="24"/>
                <w:szCs w:val="24"/>
                <w:vertAlign w:val="baseline"/>
                <w:lang w:val="en-US" w:eastAsia="zh-CN"/>
              </w:rPr>
            </w:pPr>
            <w:r>
              <w:rPr>
                <w:rFonts w:hint="eastAsia"/>
                <w:sz w:val="24"/>
                <w:szCs w:val="24"/>
                <w:vertAlign w:val="baseline"/>
                <w:lang w:val="en-US" w:eastAsia="zh-CN"/>
              </w:rPr>
              <w:t>对房地产开发企业经营活动的检查</w:t>
            </w:r>
          </w:p>
        </w:tc>
        <w:tc>
          <w:tcPr>
            <w:tcW w:w="1096"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lang w:eastAsia="zh-CN"/>
              </w:rPr>
            </w:pPr>
            <w:r>
              <w:rPr>
                <w:rFonts w:hint="eastAsia"/>
                <w:sz w:val="24"/>
                <w:szCs w:val="24"/>
                <w:vertAlign w:val="baseline"/>
                <w:lang w:eastAsia="zh-CN"/>
              </w:rPr>
              <w:t>《城市房地产开发经营管理条例》</w:t>
            </w:r>
          </w:p>
        </w:tc>
        <w:tc>
          <w:tcPr>
            <w:tcW w:w="515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第四条　国务院建设行政主管部门负责全国房地产开发经营活动的监督管理工作。</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lang w:eastAsia="zh-CN"/>
              </w:rPr>
            </w:pPr>
            <w:r>
              <w:rPr>
                <w:rFonts w:hint="eastAsia"/>
                <w:sz w:val="24"/>
                <w:szCs w:val="24"/>
                <w:vertAlign w:val="baseline"/>
              </w:rPr>
              <w:t>县级以上地方人民政府房地产开发主管部门负责本行政区域内房地产开发经营活动的监督管理工作。</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ascii="Times New Roman" w:eastAsia="仿宋_GB2312" w:cs="Arial" w:hAnsi="Times New Roman" w:hint="eastAsia"/>
                <w:kern w:val="2"/>
                <w:sz w:val="24"/>
                <w:szCs w:val="24"/>
                <w:vertAlign w:val="baseline"/>
                <w:lang w:val="en-US" w:eastAsia="zh-CN" w:bidi="ar-SA"/>
              </w:rPr>
            </w:pPr>
            <w:r>
              <w:rPr>
                <w:rFonts w:hint="eastAsia"/>
                <w:sz w:val="24"/>
                <w:szCs w:val="24"/>
                <w:vertAlign w:val="baseline"/>
                <w:lang w:val="en-US" w:eastAsia="zh-CN"/>
              </w:rPr>
              <w:t>宿城区住房和城乡建设局</w:t>
            </w:r>
          </w:p>
        </w:tc>
        <w:tc>
          <w:tcPr>
            <w:tcW w:w="1459" w:type="dxa"/>
            <w:tcBorders>
              <w:top w:val="single" w:sz="4" w:space="0" w:color="auto"/>
              <w:left w:val="single" w:sz="4" w:space="0" w:color="auto"/>
              <w:bottom w:val="single" w:sz="4" w:space="0" w:color="auto"/>
              <w:right w:val="single" w:sz="4" w:space="0" w:color="auto"/>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ascii="Times New Roman" w:eastAsia="仿宋_GB2312" w:cs="Arial" w:hAnsi="Times New Roman"/>
                <w:kern w:val="2"/>
                <w:sz w:val="24"/>
                <w:szCs w:val="24"/>
                <w:vertAlign w:val="baseline"/>
                <w:lang w:val="en-US" w:eastAsia="zh-CN" w:bidi="ar-SA"/>
              </w:rPr>
            </w:pPr>
            <w:r>
              <w:rPr>
                <w:rFonts w:cs="Arial" w:hint="eastAsia"/>
                <w:kern w:val="2"/>
                <w:sz w:val="24"/>
                <w:szCs w:val="24"/>
                <w:vertAlign w:val="baseline"/>
                <w:lang w:val="en-US" w:eastAsia="zh-CN" w:bidi="ar-SA"/>
              </w:rPr>
              <w:t>房地产开发经营企业</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ascii="Times New Roman" w:eastAsia="仿宋_GB2312" w:cs="Arial" w:hAnsi="Times New Roman" w:hint="eastAsia"/>
                <w:kern w:val="2"/>
                <w:sz w:val="24"/>
                <w:szCs w:val="24"/>
                <w:vertAlign w:val="baseline"/>
                <w:lang w:val="en-US" w:eastAsia="zh-CN" w:bidi="ar-SA"/>
              </w:rPr>
            </w:pPr>
            <w:r>
              <w:rPr>
                <w:rFonts w:hint="eastAsia"/>
                <w:sz w:val="24"/>
                <w:szCs w:val="24"/>
                <w:vertAlign w:val="baseline"/>
                <w:lang w:val="en-US" w:eastAsia="zh-CN"/>
              </w:rPr>
              <w:t>未有违反房地产开发经营管理方面</w:t>
            </w:r>
            <w:r>
              <w:rPr>
                <w:rFonts w:hint="eastAsia"/>
                <w:sz w:val="24"/>
                <w:szCs w:val="24"/>
                <w:vertAlign w:val="baseline"/>
              </w:rPr>
              <w:t>法律、法规</w:t>
            </w:r>
            <w:r>
              <w:rPr>
                <w:rFonts w:hint="eastAsia"/>
                <w:sz w:val="24"/>
                <w:szCs w:val="24"/>
                <w:vertAlign w:val="baseline"/>
                <w:lang w:val="en-US" w:eastAsia="zh-CN"/>
              </w:rPr>
              <w:t>的情形</w:t>
            </w:r>
          </w:p>
        </w:tc>
        <w:tc>
          <w:tcPr>
            <w:tcW w:w="1256" w:type="dxa"/>
            <w:tcBorders>
              <w:top w:val="single" w:sz="4" w:space="0" w:color="auto"/>
              <w:left w:val="single" w:sz="4" w:space="0" w:color="auto"/>
              <w:bottom w:val="single" w:sz="4" w:space="0" w:color="auto"/>
              <w:right w:val="single" w:sz="4" w:space="0" w:color="auto"/>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sz w:val="24"/>
                <w:szCs w:val="24"/>
                <w:vertAlign w:val="baseline"/>
                <w:lang w:val="en-US" w:eastAsia="zh-CN"/>
              </w:rPr>
            </w:pPr>
            <w:r>
              <w:rPr>
                <w:rFonts w:hint="eastAsia"/>
                <w:sz w:val="24"/>
                <w:szCs w:val="24"/>
                <w:vertAlign w:val="baseline"/>
                <w:lang w:val="en-US" w:eastAsia="zh-CN"/>
              </w:rPr>
              <w:t>现场检查</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ascii="Times New Roman" w:eastAsia="仿宋_GB2312" w:cs="Arial" w:hAnsi="Times New Roman" w:hint="eastAsia"/>
                <w:kern w:val="2"/>
                <w:sz w:val="24"/>
                <w:szCs w:val="24"/>
                <w:vertAlign w:val="baseline"/>
                <w:lang w:val="en-US" w:eastAsia="zh-CN" w:bidi="ar-SA"/>
              </w:rPr>
            </w:pPr>
            <w:r>
              <w:rPr>
                <w:rFonts w:hint="eastAsia"/>
                <w:sz w:val="24"/>
                <w:szCs w:val="24"/>
                <w:vertAlign w:val="baseline"/>
                <w:lang w:val="en-US" w:eastAsia="zh-CN"/>
              </w:rPr>
              <w:t>书面检查</w:t>
            </w:r>
          </w:p>
        </w:tc>
      </w:tr>
      <w:tr>
        <w:trPr>
          <w:trHeight w:val="463"/>
        </w:trPr>
        <w:tc>
          <w:tcPr>
            <w:tcW w:w="873" w:type="dxa"/>
            <w:tcBorders>
              <w:top w:val="single" w:sz="4" w:space="0" w:color="auto"/>
              <w:left w:val="single" w:sz="4" w:space="0" w:color="auto"/>
              <w:bottom w:val="single" w:sz="4" w:space="0" w:color="auto"/>
              <w:right w:val="single" w:sz="4" w:space="0" w:color="auto"/>
            </w:tcBorders>
            <w:noWrap/>
            <w:vAlign w:val="center"/>
          </w:tcPr>
          <w:p>
            <w:pPr>
              <w:jc w:val="center"/>
              <w:rPr>
                <w:sz w:val="24"/>
                <w:szCs w:val="24"/>
                <w:vertAlign w:val="baseline"/>
                <w:lang w:val="en-US" w:eastAsia="zh-CN"/>
              </w:rPr>
            </w:pPr>
            <w:r>
              <w:rPr>
                <w:rFonts w:hint="eastAsia"/>
                <w:sz w:val="24"/>
                <w:szCs w:val="24"/>
                <w:vertAlign w:val="baseline"/>
                <w:lang w:val="en-US" w:eastAsia="zh-CN"/>
              </w:rPr>
              <w:t>6</w:t>
            </w:r>
          </w:p>
        </w:tc>
        <w:tc>
          <w:tcPr>
            <w:tcW w:w="172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eastAsia="仿宋_GB2312"/>
                <w:sz w:val="24"/>
                <w:szCs w:val="24"/>
                <w:vertAlign w:val="baseline"/>
                <w:lang w:val="en-US" w:eastAsia="zh-CN"/>
              </w:rPr>
            </w:pPr>
            <w:r>
              <w:rPr>
                <w:rFonts w:hint="eastAsia"/>
                <w:sz w:val="24"/>
                <w:szCs w:val="24"/>
                <w:vertAlign w:val="baseline"/>
                <w:lang w:val="en-US" w:eastAsia="zh-CN"/>
              </w:rPr>
              <w:t>对建设项目参建主体的扬尘污染情况的检查</w:t>
            </w:r>
          </w:p>
        </w:tc>
        <w:tc>
          <w:tcPr>
            <w:tcW w:w="1096"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sz w:val="24"/>
                <w:szCs w:val="24"/>
                <w:vertAlign w:val="baseline"/>
                <w:lang w:eastAsia="zh-CN"/>
              </w:rPr>
            </w:pPr>
            <w:r>
              <w:rPr>
                <w:rFonts w:hint="eastAsia"/>
                <w:sz w:val="24"/>
                <w:szCs w:val="24"/>
                <w:vertAlign w:val="baseline"/>
                <w:lang w:eastAsia="zh-CN"/>
              </w:rPr>
              <w:t>《宿迁市扬尘污染防治条例》</w:t>
            </w:r>
          </w:p>
        </w:tc>
        <w:tc>
          <w:tcPr>
            <w:tcW w:w="515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第二十一条  生态环境主管部门对本行政区域内的扬尘污染防治实施统一监督管理，负责工业企业物料堆放场所扬尘污染、预拌混凝土及砂浆等企业的扬尘污染防治监督管理工作。</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住房和城乡建设主管部门负责房屋及其附属设施建筑（含装饰装修）工程、市政工程、园林绿化工程、国有土地上房屋征收拆除工程等施工中的扬尘污染防治监督管理工作。</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 xml:space="preserve">第二十四条  负有扬尘污染防治监督管理职责的部门应当建立巡查机制，依法对扬尘污染防治工作进行监督管理和现场检查。 </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生态环境主管部门根据扬尘防治工作的需要，可以会同相关管理部门实施联合执法检查。</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被检查的单位或者个人应当配合监督检查，不得弄虚作假。</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ascii="Times New Roman" w:eastAsia="仿宋_GB2312" w:cs="Arial" w:hAnsi="Times New Roman" w:hint="eastAsia"/>
                <w:kern w:val="2"/>
                <w:sz w:val="24"/>
                <w:szCs w:val="24"/>
                <w:vertAlign w:val="baseline"/>
                <w:lang w:val="en-US" w:eastAsia="zh-CN" w:bidi="ar-SA"/>
              </w:rPr>
            </w:pPr>
            <w:r>
              <w:rPr>
                <w:rFonts w:hint="eastAsia"/>
                <w:sz w:val="24"/>
                <w:szCs w:val="24"/>
                <w:vertAlign w:val="baseline"/>
                <w:lang w:val="en-US" w:eastAsia="zh-CN"/>
              </w:rPr>
              <w:t>宿城区住房和城乡建设局</w:t>
            </w:r>
          </w:p>
        </w:tc>
        <w:tc>
          <w:tcPr>
            <w:tcW w:w="1459" w:type="dxa"/>
            <w:tcBorders>
              <w:top w:val="single" w:sz="4" w:space="0" w:color="auto"/>
              <w:left w:val="single" w:sz="4" w:space="0" w:color="auto"/>
              <w:bottom w:val="single" w:sz="4" w:space="0" w:color="auto"/>
              <w:right w:val="single" w:sz="4" w:space="0" w:color="auto"/>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ascii="Times New Roman" w:eastAsia="仿宋_GB2312" w:cs="Arial" w:hAnsi="Times New Roman" w:hint="eastAsia"/>
                <w:kern w:val="2"/>
                <w:sz w:val="24"/>
                <w:szCs w:val="24"/>
                <w:vertAlign w:val="baseline"/>
                <w:lang w:val="en-US" w:eastAsia="zh-CN" w:bidi="ar-SA"/>
              </w:rPr>
            </w:pPr>
            <w:r>
              <w:rPr>
                <w:rFonts w:hint="eastAsia"/>
                <w:sz w:val="24"/>
                <w:szCs w:val="24"/>
                <w:vertAlign w:val="baseline"/>
                <w:lang w:val="en-US" w:eastAsia="zh-CN"/>
              </w:rPr>
              <w:t>建设项目参建主体</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ascii="Times New Roman" w:eastAsia="仿宋_GB2312" w:cs="Arial" w:hAnsi="Times New Roman" w:hint="eastAsia"/>
                <w:kern w:val="2"/>
                <w:sz w:val="24"/>
                <w:szCs w:val="24"/>
                <w:vertAlign w:val="baseline"/>
                <w:lang w:val="en-US" w:eastAsia="zh-CN" w:bidi="ar-SA"/>
              </w:rPr>
            </w:pPr>
            <w:r>
              <w:rPr>
                <w:rFonts w:hint="eastAsia"/>
                <w:sz w:val="24"/>
                <w:szCs w:val="24"/>
                <w:vertAlign w:val="baseline"/>
                <w:lang w:val="en-US" w:eastAsia="zh-CN"/>
              </w:rPr>
              <w:t>未有违反扬尘污染防治管理方面</w:t>
            </w:r>
            <w:r>
              <w:rPr>
                <w:rFonts w:hint="eastAsia"/>
                <w:sz w:val="24"/>
                <w:szCs w:val="24"/>
                <w:vertAlign w:val="baseline"/>
              </w:rPr>
              <w:t>法律、法规</w:t>
            </w:r>
            <w:r>
              <w:rPr>
                <w:rFonts w:hint="eastAsia"/>
                <w:sz w:val="24"/>
                <w:szCs w:val="24"/>
                <w:vertAlign w:val="baseline"/>
                <w:lang w:val="en-US" w:eastAsia="zh-CN"/>
              </w:rPr>
              <w:t>的情形</w:t>
            </w:r>
          </w:p>
        </w:tc>
        <w:tc>
          <w:tcPr>
            <w:tcW w:w="1256" w:type="dxa"/>
            <w:tcBorders>
              <w:top w:val="single" w:sz="4" w:space="0" w:color="auto"/>
              <w:left w:val="single" w:sz="4" w:space="0" w:color="auto"/>
              <w:bottom w:val="single" w:sz="4" w:space="0" w:color="auto"/>
              <w:right w:val="single" w:sz="4" w:space="0" w:color="auto"/>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sz w:val="24"/>
                <w:szCs w:val="24"/>
                <w:vertAlign w:val="baseline"/>
                <w:lang w:val="en-US" w:eastAsia="zh-CN"/>
              </w:rPr>
            </w:pPr>
            <w:r>
              <w:rPr>
                <w:rFonts w:hint="eastAsia"/>
                <w:sz w:val="24"/>
                <w:szCs w:val="24"/>
                <w:vertAlign w:val="baseline"/>
                <w:lang w:val="en-US" w:eastAsia="zh-CN"/>
              </w:rPr>
              <w:t>现场检查</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ascii="Times New Roman" w:eastAsia="仿宋_GB2312" w:cs="Arial" w:hAnsi="Times New Roman" w:hint="eastAsia"/>
                <w:kern w:val="2"/>
                <w:sz w:val="24"/>
                <w:szCs w:val="24"/>
                <w:vertAlign w:val="baseline"/>
                <w:lang w:val="en-US" w:eastAsia="zh-CN" w:bidi="ar-SA"/>
              </w:rPr>
            </w:pPr>
            <w:r>
              <w:rPr>
                <w:rFonts w:hint="eastAsia"/>
                <w:sz w:val="24"/>
                <w:szCs w:val="24"/>
                <w:vertAlign w:val="baseline"/>
                <w:lang w:val="en-US" w:eastAsia="zh-CN"/>
              </w:rPr>
              <w:t>书面检查</w:t>
            </w:r>
          </w:p>
        </w:tc>
      </w:tr>
      <w:tr>
        <w:trPr>
          <w:trHeight w:val="463"/>
        </w:trPr>
        <w:tc>
          <w:tcPr>
            <w:tcW w:w="873" w:type="dxa"/>
            <w:tcBorders>
              <w:top w:val="single" w:sz="4" w:space="0" w:color="auto"/>
              <w:left w:val="single" w:sz="4" w:space="0" w:color="auto"/>
              <w:bottom w:val="single" w:sz="4" w:space="0" w:color="auto"/>
              <w:right w:val="single" w:sz="4" w:space="0" w:color="auto"/>
            </w:tcBorders>
            <w:noWrap/>
            <w:vAlign w:val="center"/>
          </w:tcPr>
          <w:p>
            <w:pPr>
              <w:jc w:val="center"/>
              <w:rPr>
                <w:sz w:val="24"/>
                <w:szCs w:val="24"/>
                <w:vertAlign w:val="baseline"/>
                <w:lang w:val="en-US" w:eastAsia="zh-CN"/>
              </w:rPr>
            </w:pPr>
            <w:r>
              <w:rPr>
                <w:rFonts w:hint="eastAsia"/>
                <w:sz w:val="24"/>
                <w:szCs w:val="24"/>
                <w:vertAlign w:val="baseline"/>
                <w:lang w:val="en-US" w:eastAsia="zh-CN"/>
              </w:rPr>
              <w:t>7</w:t>
            </w:r>
          </w:p>
        </w:tc>
        <w:tc>
          <w:tcPr>
            <w:tcW w:w="172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sz w:val="24"/>
                <w:szCs w:val="24"/>
                <w:vertAlign w:val="baseline"/>
                <w:lang w:val="en-US"/>
              </w:rPr>
            </w:pPr>
            <w:r>
              <w:rPr>
                <w:rFonts w:hint="eastAsia"/>
                <w:sz w:val="24"/>
                <w:szCs w:val="24"/>
                <w:vertAlign w:val="baseline"/>
                <w:lang w:val="en-US" w:eastAsia="zh-CN"/>
              </w:rPr>
              <w:t>对燃气经营企业经营状况的检查</w:t>
            </w:r>
          </w:p>
        </w:tc>
        <w:tc>
          <w:tcPr>
            <w:tcW w:w="1096"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sz w:val="24"/>
                <w:szCs w:val="24"/>
                <w:vertAlign w:val="baseline"/>
                <w:lang w:eastAsia="zh-CN"/>
              </w:rPr>
            </w:pPr>
            <w:r>
              <w:rPr>
                <w:rFonts w:hint="eastAsia"/>
                <w:sz w:val="24"/>
                <w:szCs w:val="24"/>
                <w:vertAlign w:val="baseline"/>
                <w:lang w:eastAsia="zh-CN"/>
              </w:rPr>
              <w:t>《城镇燃气管理条例》</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sz w:val="24"/>
                <w:szCs w:val="24"/>
                <w:vertAlign w:val="baseline"/>
                <w:lang w:eastAsia="zh-CN"/>
              </w:rPr>
            </w:pP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sz w:val="24"/>
                <w:szCs w:val="24"/>
                <w:vertAlign w:val="baseline"/>
                <w:lang w:eastAsia="zh-CN"/>
              </w:rPr>
            </w:pPr>
          </w:p>
        </w:tc>
        <w:tc>
          <w:tcPr>
            <w:tcW w:w="515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第五条　国务院建设主管部门负责全国的燃气管理工作。</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县级以上地方人民政府燃气管理部门负责本行政区域内的燃气管理工作。</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第四十一条　燃气经营者应当建立健全燃气安全评估和风险管理体系，发现燃气安全事故隐患的，应当及时采取措施消除隐患。</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sz w:val="24"/>
                <w:szCs w:val="24"/>
                <w:vertAlign w:val="baseline"/>
              </w:rPr>
            </w:pPr>
            <w:r>
              <w:rPr>
                <w:rFonts w:hint="eastAsia"/>
                <w:sz w:val="24"/>
                <w:szCs w:val="24"/>
                <w:vertAlign w:val="baseline"/>
              </w:rPr>
              <w:t>燃气管理部门以及其他有关部门和单位应当根据各自职责，对燃气经营、燃气使用的安全状况等进行监督检查，发现燃气安全事故隐患的，应当通知燃气经营者、燃气用户及时采取措施消除隐患；不及时消除隐患可能严重威胁公共安全的，燃气管理部门以及其他有关部门和单位应当依法采取措施，及时组织消除隐患，有关单位和个人应当予以配合。</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ascii="Times New Roman" w:eastAsia="仿宋_GB2312" w:cs="Arial" w:hAnsi="Times New Roman" w:hint="eastAsia"/>
                <w:kern w:val="2"/>
                <w:sz w:val="24"/>
                <w:szCs w:val="24"/>
                <w:vertAlign w:val="baseline"/>
                <w:lang w:val="en-US" w:eastAsia="zh-CN" w:bidi="ar-SA"/>
              </w:rPr>
            </w:pPr>
            <w:r>
              <w:rPr>
                <w:rFonts w:hint="eastAsia"/>
                <w:sz w:val="24"/>
                <w:szCs w:val="24"/>
                <w:vertAlign w:val="baseline"/>
                <w:lang w:val="en-US" w:eastAsia="zh-CN"/>
              </w:rPr>
              <w:t>宿城区住房和城乡建设局</w:t>
            </w:r>
          </w:p>
        </w:tc>
        <w:tc>
          <w:tcPr>
            <w:tcW w:w="1459" w:type="dxa"/>
            <w:tcBorders>
              <w:top w:val="single" w:sz="4" w:space="0" w:color="auto"/>
              <w:left w:val="single" w:sz="4" w:space="0" w:color="auto"/>
              <w:bottom w:val="single" w:sz="4" w:space="0" w:color="auto"/>
              <w:right w:val="single" w:sz="4" w:space="0" w:color="auto"/>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ascii="Times New Roman" w:eastAsia="仿宋_GB2312" w:cs="Arial" w:hAnsi="Times New Roman"/>
                <w:kern w:val="2"/>
                <w:sz w:val="24"/>
                <w:szCs w:val="24"/>
                <w:vertAlign w:val="baseline"/>
                <w:lang w:val="en-US" w:eastAsia="zh-CN" w:bidi="ar-SA"/>
              </w:rPr>
            </w:pPr>
            <w:r>
              <w:rPr>
                <w:rFonts w:ascii="Times New Roman" w:cs="Arial" w:hAnsi="Times New Roman" w:hint="eastAsia"/>
                <w:kern w:val="2"/>
                <w:sz w:val="24"/>
                <w:szCs w:val="24"/>
                <w:vertAlign w:val="baseline"/>
                <w:lang w:val="en-US" w:eastAsia="zh-CN" w:bidi="ar-SA"/>
              </w:rPr>
              <w:t>燃气经营企业</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ascii="Times New Roman" w:eastAsia="仿宋_GB2312" w:cs="Arial" w:hAnsi="Times New Roman" w:hint="eastAsia"/>
                <w:kern w:val="2"/>
                <w:sz w:val="24"/>
                <w:szCs w:val="24"/>
                <w:vertAlign w:val="baseline"/>
                <w:lang w:val="en-US" w:eastAsia="zh-CN" w:bidi="ar-SA"/>
              </w:rPr>
            </w:pPr>
            <w:r>
              <w:rPr>
                <w:rFonts w:hint="eastAsia"/>
                <w:sz w:val="24"/>
                <w:szCs w:val="24"/>
                <w:vertAlign w:val="baseline"/>
                <w:lang w:val="en-US" w:eastAsia="zh-CN"/>
              </w:rPr>
              <w:t>未有违反燃气经管理方面</w:t>
            </w:r>
            <w:r>
              <w:rPr>
                <w:rFonts w:hint="eastAsia"/>
                <w:sz w:val="24"/>
                <w:szCs w:val="24"/>
                <w:vertAlign w:val="baseline"/>
              </w:rPr>
              <w:t>法律、法规</w:t>
            </w:r>
            <w:r>
              <w:rPr>
                <w:rFonts w:hint="eastAsia"/>
                <w:sz w:val="24"/>
                <w:szCs w:val="24"/>
                <w:vertAlign w:val="baseline"/>
                <w:lang w:eastAsia="zh-CN"/>
              </w:rPr>
              <w:t>、</w:t>
            </w:r>
            <w:r>
              <w:rPr>
                <w:rFonts w:hint="eastAsia"/>
                <w:sz w:val="24"/>
                <w:szCs w:val="24"/>
                <w:vertAlign w:val="baseline"/>
                <w:lang w:val="en-US" w:eastAsia="zh-CN"/>
              </w:rPr>
              <w:t>规章的情形</w:t>
            </w:r>
          </w:p>
        </w:tc>
        <w:tc>
          <w:tcPr>
            <w:tcW w:w="1256" w:type="dxa"/>
            <w:tcBorders>
              <w:top w:val="single" w:sz="4" w:space="0" w:color="auto"/>
              <w:left w:val="single" w:sz="4" w:space="0" w:color="auto"/>
              <w:bottom w:val="single" w:sz="4" w:space="0" w:color="auto"/>
              <w:right w:val="single" w:sz="4" w:space="0" w:color="auto"/>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sz w:val="24"/>
                <w:szCs w:val="24"/>
                <w:vertAlign w:val="baseline"/>
                <w:lang w:val="en-US" w:eastAsia="zh-CN"/>
              </w:rPr>
            </w:pPr>
            <w:r>
              <w:rPr>
                <w:rFonts w:hint="eastAsia"/>
                <w:sz w:val="24"/>
                <w:szCs w:val="24"/>
                <w:vertAlign w:val="baseline"/>
                <w:lang w:val="en-US" w:eastAsia="zh-CN"/>
              </w:rPr>
              <w:t>现场检查</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ascii="Times New Roman" w:eastAsia="仿宋_GB2312" w:cs="Arial" w:hAnsi="Times New Roman" w:hint="eastAsia"/>
                <w:kern w:val="2"/>
                <w:sz w:val="24"/>
                <w:szCs w:val="24"/>
                <w:vertAlign w:val="baseline"/>
                <w:lang w:val="en-US" w:eastAsia="zh-CN" w:bidi="ar-SA"/>
              </w:rPr>
            </w:pPr>
            <w:r>
              <w:rPr>
                <w:rFonts w:hint="eastAsia"/>
                <w:sz w:val="24"/>
                <w:szCs w:val="24"/>
                <w:vertAlign w:val="baseline"/>
                <w:lang w:val="en-US" w:eastAsia="zh-CN"/>
              </w:rPr>
              <w:t>书面检查</w:t>
            </w:r>
          </w:p>
        </w:tc>
      </w:tr>
    </w:tbl>
    <w:p/>
    <w:sectPr>
      <w:pgSz w:w="16838" w:h="11906" w:orient="landscape"/>
      <w:pgMar w:top="1134" w:right="1134" w:bottom="1134" w:left="1134" w:header="851" w:footer="992" w:gutter="0"/>
      <w:rtlGutter/>
      <w:docGrid w:type="lines" w:linePitch="438"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auto"/>
    <w:pitch w:val="variable"/>
    <w:sig w:usb0="00000001" w:usb1="080E0000" w:usb2="00000000" w:usb3="00000000" w:csb0="00040000" w:csb1="00000000"/>
  </w:font>
  <w:font w:name="方正黑体_GBK">
    <w:panose1 w:val="03000509000000000000"/>
    <w:charset w:val="86"/>
    <w:family w:val="auto"/>
    <w:pitch w:val="variable"/>
    <w:sig w:usb0="00000001" w:usb1="080E0000" w:usb2="00000000" w:usb3="00000000" w:csb0="00040000" w:csb1="00000000"/>
  </w:font>
  <w:font w:name="仿宋_GB2312">
    <w:panose1 w:val="02010609030101010101"/>
    <w:charset w:val="86"/>
    <w:family w:val="auto"/>
    <w:pitch w:val="variable"/>
    <w:sig w:usb0="00000001" w:usb1="080E0000" w:usb2="00000000" w:usb3="00000000" w:csb0="00040000" w:csb1="00000000"/>
  </w:font>
  <w:font w:name="Times New Roman">
    <w:panose1 w:val="02020603050405020304"/>
    <w:charset w:val="CC"/>
    <w:family w:val="roman"/>
    <w:pitch w:val="variable"/>
    <w:sig w:usb0="E0002EFF" w:usb1="C000785B" w:usb2="00000009" w:usb3="00000000" w:csb0="400001FF" w:csb1="FFFF0000"/>
  </w:font>
  <w:font w:name="Arial">
    <w:altName w:val="DejaVu Sans"/>
    <w:panose1 w:val="020B0604020202020204"/>
    <w:charset w:val="01"/>
    <w:family w:val="swiss"/>
    <w:pitch w:val="variable"/>
    <w:sig w:usb0="E0002EFF" w:usb1="C000785B" w:usb2="00000009" w:usb3="00000000" w:csb0="400001FF" w:csb1="FFFF0000"/>
  </w:font>
  <w:font w:name="宋体">
    <w:panose1 w:val="02010600030101010101"/>
    <w:charset w:val="86"/>
    <w:family w:val="auto"/>
    <w:pitch w:val="variable"/>
    <w:sig w:usb0="00000003" w:usb1="288F0000" w:usb2="00000006" w:usb3="00000000" w:csb0="00040001" w:csb1="00000000"/>
  </w:font>
  <w:font w:name="Luxi Sans">
    <w:altName w:val="DejaVu Sans"/>
    <w:panose1 w:val="00000000000000000000"/>
    <w:charset w:val="00"/>
    <w:family w:val="auto"/>
    <w:pitch w:val="variable"/>
    <w:sig w:usb0="00000000" w:usb1="00000000" w:usb2="00000000" w:usb3="00000000" w:csb0="00000000" w:csb1="00000000"/>
  </w:font>
  <w:font w:name="黑体">
    <w:panose1 w:val="02010609060101010101"/>
    <w:charset w:val="86"/>
    <w:family w:val="auto"/>
    <w:pitch w:val="variable"/>
    <w:sig w:usb0="800002BF" w:usb1="38CF7CFA" w:usb2="00000016" w:usb3="00000000" w:csb0="00040001" w:csb1="00000000"/>
  </w:font>
  <w:font w:name="Courier New">
    <w:altName w:val="DejaVu Sans"/>
    <w:panose1 w:val="02070309020205020404"/>
    <w:charset w:val="01"/>
    <w:family w:val="modern"/>
    <w:pitch w:val="variable"/>
    <w:sig w:usb0="E0002EFF" w:usb1="C0007843" w:usb2="00000009" w:usb3="00000000" w:csb0="400001FF" w:csb1="FFFF0000"/>
  </w:font>
  <w:font w:name="Verdana">
    <w:altName w:val="DejaVu Sans"/>
    <w:panose1 w:val="020B0604030504040204"/>
    <w:charset w:val="00"/>
    <w:family w:val="swiss"/>
    <w:pitch w:val="variable"/>
    <w:sig w:usb0="A00006FF" w:usb1="4000205B" w:usb2="00000010" w:usb3="00000000" w:csb0="2000019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10"/>
  <w:bordersDoNotSurroundHeader w:val="0"/>
  <w:bordersDoNotSurroundFooter w:val="0"/>
  <w:documentProtection w:edit="readOnly" w:enforcement="0"/>
  <w:defaultTabStop w:val="420"/>
  <w:drawingGridHorizontalSpacing w:val="160"/>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doNotUseIndentAsNumberingTabStop/>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仿宋_GB2312" w:cs="Arial" w:hAnsi="Times New Roman"/>
      <w:kern w:val="2"/>
      <w:sz w:val="32"/>
      <w:szCs w:val="32"/>
      <w:lang w:val="en-US" w:eastAsia="zh-CN" w:bidi="ar-SA"/>
    </w:rPr>
  </w:style>
  <w:style w:type="paragraph" w:styleId="1">
    <w:name w:val="heading 1"/>
    <w:basedOn w:val="0"/>
    <w:next w:val="0"/>
    <w:pPr>
      <w:keepNext/>
      <w:keepLines/>
      <w:spacing w:before="340" w:after="330" w:line="578" w:lineRule="auto"/>
      <w:outlineLvl w:val="0"/>
    </w:pPr>
    <w:rPr>
      <w:b/>
      <w:bCs/>
      <w:kern w:val="44"/>
      <w:sz w:val="44"/>
    </w:rPr>
  </w:style>
  <w:style w:type="paragraph" w:styleId="2">
    <w:name w:val="heading 2"/>
    <w:basedOn w:val="0"/>
    <w:next w:val="0"/>
    <w:pPr>
      <w:keepNext/>
      <w:keepLines/>
      <w:spacing w:before="260" w:after="260" w:line="415" w:lineRule="auto"/>
      <w:outlineLvl w:val="1"/>
    </w:pPr>
    <w:rPr>
      <w:rFonts w:ascii="Luxi Sans" w:eastAsia="黑体" w:hAnsi="Luxi Sans"/>
      <w:b/>
      <w:sz w:val="32"/>
    </w:rPr>
  </w:style>
  <w:style w:type="paragraph" w:styleId="3">
    <w:name w:val="heading 3"/>
    <w:basedOn w:val="0"/>
    <w:next w:val="0"/>
    <w:pPr>
      <w:spacing w:before="0" w:beforeAutospacing="1" w:after="0" w:afterAutospacing="1"/>
      <w:jc w:val="left"/>
      <w:outlineLvl w:val="2"/>
    </w:pPr>
    <w:rPr>
      <w:rFonts w:ascii="宋体" w:eastAsia="宋体" w:cs="宋体"/>
      <w:b/>
      <w:bCs/>
      <w:kern w:val="0"/>
      <w:sz w:val="27"/>
      <w:szCs w:val="27"/>
      <w:lang w:val="en-US" w:eastAsia="zh-CN"/>
    </w:rPr>
  </w:style>
  <w:style w:type="character" w:default="1" w:styleId="10">
    <w:name w:val="Default Paragraph Font"/>
  </w:style>
  <w:style w:type="paragraph" w:styleId="15">
    <w:name w:val="Plain Text"/>
    <w:basedOn w:val="0"/>
    <w:rPr>
      <w:rFonts w:ascii="宋体" w:eastAsia="宋体" w:cs="Courier New"/>
      <w:szCs w:val="21"/>
    </w:rPr>
  </w:style>
  <w:style w:type="character" w:styleId="16">
    <w:name w:val="Strong"/>
    <w:basedOn w:val="10"/>
    <w:rPr>
      <w:b/>
    </w:rPr>
  </w:style>
  <w:style w:type="paragraph" w:customStyle="1" w:styleId="17">
    <w:name w:val=" Char Char1 Char Char"/>
    <w:basedOn w:val="0"/>
    <w:pPr>
      <w:widowControl/>
      <w:spacing w:after="160" w:line="240" w:lineRule="exact"/>
      <w:jc w:val="left"/>
    </w:pPr>
    <w:rPr>
      <w:rFonts w:ascii="Arial" w:eastAsia="Times New Roman" w:cs="Verdana" w:hAnsi="Arial"/>
      <w:b/>
      <w:kern w:val="0"/>
      <w:sz w:val="24"/>
      <w:szCs w:val="32"/>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31</TotalTime>
  <Application>Yozo_Office27021597764231179</Application>
  <Pages>4</Pages>
  <Words>2258</Words>
  <Characters>2258</Characters>
  <Lines>241</Lines>
  <Paragraphs>94</Paragraphs>
  <CharactersWithSpaces>2281</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kylin</cp:lastModifiedBy>
  <cp:revision>0</cp:revision>
  <dcterms:created xsi:type="dcterms:W3CDTF">2023-08-04T01:30:00Z</dcterms:created>
  <dcterms:modified xsi:type="dcterms:W3CDTF">2025-09-16T01:19:28Z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15167DCC5C6848028D2D6A221ACAD52B_12</vt:lpwstr>
  </property>
  <property fmtid="{D5CDD505-2E9C-101B-9397-08002B2CF9AE}" pid="4" name="KSOTemplateDocerSaveRecord">
    <vt:lpwstr>eyJoZGlkIjoiNWQxZDU3MjE0YTZlZTQxZGM0OGIwMTI0OTUxOWY5ODciLCJ1c2VySWQiOiIyNTcxMjgxOTkifQ==</vt:lpwstr>
  </property>
</Properties>
</file>