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方正黑体_GBK" w:cs="Times New Roman"/>
          <w:sz w:val="32"/>
          <w:szCs w:val="32"/>
          <w:highlight w:val="none"/>
          <w:lang w:bidi="ar-SA"/>
        </w:rPr>
      </w:pPr>
      <w:r>
        <w:rPr>
          <w:rFonts w:hint="default" w:ascii="Times New Roman" w:hAnsi="Times New Roman" w:eastAsia="方正黑体_GBK" w:cs="Times New Roman"/>
          <w:sz w:val="32"/>
          <w:szCs w:val="32"/>
          <w:highlight w:val="none"/>
          <w:lang w:bidi="ar-SA"/>
        </w:rPr>
        <w:t>附件</w:t>
      </w:r>
      <w:r>
        <w:rPr>
          <w:rFonts w:hint="default" w:ascii="Times New Roman" w:hAnsi="Times New Roman" w:eastAsia="方正黑体_GBK" w:cs="Times New Roman"/>
          <w:sz w:val="32"/>
          <w:szCs w:val="32"/>
          <w:highlight w:val="none"/>
          <w:lang w:val="en-US" w:eastAsia="zh-CN" w:bidi="ar-SA"/>
        </w:rPr>
        <w:t>4</w:t>
      </w:r>
    </w:p>
    <w:p>
      <w:pPr>
        <w:spacing w:line="560" w:lineRule="exact"/>
        <w:rPr>
          <w:rFonts w:hint="default" w:ascii="Times New Roman" w:hAnsi="Times New Roman" w:cs="Times New Roman"/>
          <w:highlight w:val="none"/>
          <w:lang w:bidi="ar-SA"/>
        </w:rPr>
      </w:pPr>
    </w:p>
    <w:p>
      <w:pPr>
        <w:spacing w:line="560" w:lineRule="exact"/>
        <w:jc w:val="center"/>
        <w:rPr>
          <w:rFonts w:hint="default" w:ascii="Times New Roman" w:hAnsi="Times New Roman" w:eastAsia="方正小标宋_GBK" w:cs="Times New Roman"/>
          <w:sz w:val="44"/>
          <w:szCs w:val="44"/>
          <w:highlight w:val="none"/>
          <w:lang w:bidi="ar-SA"/>
        </w:rPr>
      </w:pPr>
      <w:r>
        <w:rPr>
          <w:rFonts w:hint="default" w:ascii="Times New Roman" w:hAnsi="Times New Roman" w:eastAsia="方正小标宋_GBK" w:cs="Times New Roman"/>
          <w:sz w:val="44"/>
          <w:szCs w:val="44"/>
          <w:highlight w:val="none"/>
          <w:lang w:bidi="ar-SA"/>
        </w:rPr>
        <w:t>江苏省农机购置与应用补贴相关职责</w:t>
      </w:r>
    </w:p>
    <w:p>
      <w:pPr>
        <w:spacing w:line="560" w:lineRule="exact"/>
        <w:jc w:val="center"/>
        <w:rPr>
          <w:rFonts w:hint="default" w:ascii="Times New Roman" w:hAnsi="Times New Roman" w:eastAsia="方正楷体_GBK" w:cs="Times New Roman"/>
          <w:szCs w:val="32"/>
          <w:highlight w:val="none"/>
          <w:lang w:bidi="ar-SA"/>
        </w:rPr>
      </w:pPr>
    </w:p>
    <w:p>
      <w:pPr>
        <w:spacing w:line="560" w:lineRule="exact"/>
        <w:ind w:firstLine="640" w:firstLineChars="200"/>
        <w:rPr>
          <w:rFonts w:hint="default" w:ascii="Times New Roman" w:hAnsi="Times New Roman" w:eastAsia="方正黑体_GBK" w:cs="Times New Roman"/>
          <w:sz w:val="32"/>
          <w:szCs w:val="32"/>
          <w:highlight w:val="none"/>
          <w:lang w:val="en-US" w:eastAsia="zh-CN" w:bidi="ar-SA"/>
        </w:rPr>
      </w:pPr>
      <w:r>
        <w:rPr>
          <w:rFonts w:hint="default" w:ascii="Times New Roman" w:hAnsi="Times New Roman" w:eastAsia="方正黑体_GBK" w:cs="Times New Roman"/>
          <w:sz w:val="32"/>
          <w:szCs w:val="32"/>
          <w:highlight w:val="none"/>
          <w:lang w:val="en-US" w:eastAsia="zh-CN" w:bidi="ar-SA"/>
        </w:rPr>
        <w:t>一、省级农业农村、财政部门主要职责</w:t>
      </w:r>
    </w:p>
    <w:p>
      <w:pPr>
        <w:spacing w:line="560" w:lineRule="exact"/>
        <w:ind w:firstLine="640" w:firstLineChars="200"/>
        <w:rPr>
          <w:rFonts w:hint="eastAsia" w:ascii="方正楷体_GBK" w:hAnsi="方正楷体_GBK" w:eastAsia="方正楷体_GBK" w:cs="方正楷体_GBK"/>
          <w:sz w:val="32"/>
          <w:szCs w:val="32"/>
          <w:highlight w:val="none"/>
          <w:lang w:bidi="ar-SA"/>
        </w:rPr>
      </w:pPr>
      <w:r>
        <w:rPr>
          <w:rFonts w:hint="eastAsia" w:ascii="方正楷体_GBK" w:hAnsi="方正楷体_GBK" w:eastAsia="方正楷体_GBK" w:cs="方正楷体_GBK"/>
          <w:sz w:val="32"/>
          <w:szCs w:val="32"/>
          <w:highlight w:val="none"/>
          <w:lang w:bidi="ar-SA"/>
        </w:rPr>
        <w:t>（一）省农业农村厅</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1．会同省财政厅制定全省农机购置与应用补贴实施意见、补贴额一览表，组织全省实施。</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2．组织机具投档。</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3．组织对高风险机具开展现场演示评价或验证。探索补贴机具适应性评价制度，组织抽取部分机具进行适应性评价。</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4．加强对全省农机购置与应用补贴相关信息系统管理，确保补贴系统安全规范高效运行。</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5．做好补贴政策宣传，组织信息公开工作。</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6．组织开展业务培训和廉政警示教育。</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7．健全完善风险防控制度和内部控制规程，组织做好补贴异常情形报告、咨询投诉和违规调查处理工作。</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8．加强绩效管理，组织开展监督检查。</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9．会同省财政厅按要求严格控制累加补贴。</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10．会同有关部门加强对农机鉴定工作的组织领导。</w:t>
      </w:r>
    </w:p>
    <w:p>
      <w:pPr>
        <w:spacing w:line="560" w:lineRule="exact"/>
        <w:ind w:firstLine="640" w:firstLineChars="200"/>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（二）省财政厅</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w:t>
      </w:r>
      <w:r>
        <w:rPr>
          <w:rFonts w:hint="default" w:ascii="Times New Roman" w:hAnsi="Times New Roman" w:eastAsia="方正仿宋_GBK" w:cs="Times New Roman"/>
          <w:sz w:val="32"/>
          <w:szCs w:val="32"/>
          <w:lang w:bidi="ar-SA"/>
        </w:rPr>
        <w:t>按规定履行支出责任，足额安排省级财政资金。</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2．会同省农业农村厅按照有关规定做好资金需求摸底、测算分配等工作，加强资金使用情况监测，按需开展市县余缺调剂。</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3．督促和指导基层财政部门做好补贴资金兑付。</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4．加强补贴资金监管。</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5．保障省级补贴工作实施必要的组织管理经费，包括政策实施绩效考核、机具核验、信息化建设、第三方抽查核验等工作经费。</w:t>
      </w:r>
    </w:p>
    <w:p>
      <w:pPr>
        <w:spacing w:line="560" w:lineRule="exact"/>
        <w:ind w:firstLine="640" w:firstLineChars="200"/>
        <w:rPr>
          <w:rFonts w:hint="default" w:ascii="Times New Roman" w:hAnsi="Times New Roman" w:eastAsia="方正黑体_GBK" w:cs="Times New Roman"/>
          <w:sz w:val="32"/>
          <w:szCs w:val="32"/>
          <w:highlight w:val="none"/>
          <w:lang w:val="en-US" w:eastAsia="zh-CN" w:bidi="ar-SA"/>
        </w:rPr>
      </w:pPr>
      <w:r>
        <w:rPr>
          <w:rFonts w:hint="default" w:ascii="Times New Roman" w:hAnsi="Times New Roman" w:eastAsia="方正黑体_GBK" w:cs="Times New Roman"/>
          <w:sz w:val="32"/>
          <w:szCs w:val="32"/>
          <w:highlight w:val="none"/>
          <w:lang w:val="en-US" w:eastAsia="zh-CN" w:bidi="ar-SA"/>
        </w:rPr>
        <w:t>二、设区市农业农村、财政部门主要职责</w:t>
      </w:r>
    </w:p>
    <w:p>
      <w:pPr>
        <w:spacing w:line="560" w:lineRule="exact"/>
        <w:ind w:firstLine="640" w:firstLineChars="200"/>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（一）设区市农业农村部门</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1．加强对县级制定农机购置与应用补贴实施工作方案、内控制度等指导审核，并组织实施。</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2．加强对本地区农机购置与应用补贴相关信息系统管理，确保补贴系统安全规范高效运行。</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3．加大补贴政策宣传力度，组织全市做好信息公开工作。</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4．组织开展业务培训和廉政警示教育。</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5．健全完善风险防控制度和内部控制规程，组织做好补贴异常情形报告、咨询投诉和违规调查处理等工作。</w:t>
      </w:r>
    </w:p>
    <w:p>
      <w:pPr>
        <w:spacing w:line="560" w:lineRule="exact"/>
        <w:ind w:firstLine="640" w:firstLineChars="200"/>
        <w:rPr>
          <w:rFonts w:hint="default" w:ascii="Times New Roman" w:hAnsi="Times New Roman" w:eastAsia="方正仿宋_GBK" w:cs="Times New Roman"/>
          <w:color w:val="auto"/>
          <w:sz w:val="32"/>
          <w:szCs w:val="32"/>
          <w:highlight w:val="none"/>
          <w:lang w:bidi="ar-SA"/>
        </w:rPr>
      </w:pPr>
      <w:r>
        <w:rPr>
          <w:rFonts w:hint="default" w:ascii="Times New Roman" w:hAnsi="Times New Roman" w:eastAsia="方正仿宋_GBK" w:cs="Times New Roman"/>
          <w:color w:val="auto"/>
          <w:sz w:val="32"/>
          <w:szCs w:val="32"/>
          <w:highlight w:val="none"/>
          <w:lang w:bidi="ar-SA"/>
        </w:rPr>
        <w:t>6．加强绩效管理</w:t>
      </w:r>
      <w:r>
        <w:rPr>
          <w:rFonts w:hint="default" w:ascii="Times New Roman" w:hAnsi="Times New Roman" w:eastAsia="方正仿宋_GBK" w:cs="Times New Roman"/>
          <w:color w:val="auto"/>
          <w:sz w:val="32"/>
          <w:szCs w:val="32"/>
          <w:highlight w:val="none"/>
          <w:lang w:eastAsia="zh-CN" w:bidi="ar-SA"/>
        </w:rPr>
        <w:t>，</w:t>
      </w:r>
      <w:r>
        <w:rPr>
          <w:rFonts w:hint="default" w:ascii="Times New Roman" w:hAnsi="Times New Roman" w:eastAsia="方正仿宋_GBK" w:cs="Times New Roman"/>
          <w:color w:val="auto"/>
          <w:sz w:val="32"/>
          <w:szCs w:val="32"/>
          <w:highlight w:val="none"/>
          <w:lang w:val="en-US" w:eastAsia="zh-CN" w:bidi="ar-SA"/>
        </w:rPr>
        <w:t>按要求开展监督检查</w:t>
      </w:r>
      <w:r>
        <w:rPr>
          <w:rFonts w:hint="default" w:ascii="Times New Roman" w:hAnsi="Times New Roman" w:eastAsia="方正仿宋_GBK" w:cs="Times New Roman"/>
          <w:color w:val="auto"/>
          <w:sz w:val="32"/>
          <w:szCs w:val="32"/>
          <w:highlight w:val="none"/>
          <w:lang w:bidi="ar-SA"/>
        </w:rPr>
        <w:t>。</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7．探索补贴机具适应性评价制度，对县级年度补贴机具适应性评价报告进行审核。</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8．会同设区市财政部门按要求严格控制累加补贴。</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9．各设区市可根据实际，确定有关机具喷印监督标识。</w:t>
      </w:r>
    </w:p>
    <w:p>
      <w:pPr>
        <w:spacing w:line="560" w:lineRule="exact"/>
        <w:ind w:firstLine="640" w:firstLineChars="200"/>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（二）设区市财政部门</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1．会同市农业农村部门按照有关规定测算分配资金，加强资金使用情况监测，按需开展市辖区余缺调剂。</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2．督促和指导基层财政部门做好补贴资金兑付。</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3．加强补贴资金监管。</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4．保障本级补贴工作实施必要的组织管理经费，包括政策实施绩效考核、机具核验、信息化建设、第三方抽查核验等工作经费。</w:t>
      </w:r>
    </w:p>
    <w:p>
      <w:pPr>
        <w:spacing w:line="560" w:lineRule="exact"/>
        <w:ind w:firstLine="640" w:firstLineChars="200"/>
        <w:rPr>
          <w:rFonts w:hint="default" w:ascii="Times New Roman" w:hAnsi="Times New Roman" w:eastAsia="方正黑体_GBK" w:cs="Times New Roman"/>
          <w:sz w:val="32"/>
          <w:szCs w:val="32"/>
          <w:highlight w:val="none"/>
          <w:lang w:val="en-US" w:eastAsia="zh-CN" w:bidi="ar-SA"/>
        </w:rPr>
      </w:pPr>
      <w:r>
        <w:rPr>
          <w:rFonts w:hint="default" w:ascii="Times New Roman" w:hAnsi="Times New Roman" w:eastAsia="方正黑体_GBK" w:cs="Times New Roman"/>
          <w:sz w:val="32"/>
          <w:szCs w:val="32"/>
          <w:highlight w:val="none"/>
          <w:lang w:val="en-US" w:eastAsia="zh-CN" w:bidi="ar-SA"/>
        </w:rPr>
        <w:t>三、县级农业农村、财政部门主要职责</w:t>
      </w:r>
    </w:p>
    <w:p>
      <w:pPr>
        <w:spacing w:line="560" w:lineRule="exact"/>
        <w:ind w:firstLine="640" w:firstLineChars="200"/>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（一）县级农业农村部门</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1．会同县级财政部门制定农机购置与应用补贴实施工作方案，并组织实施。</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2．加强对本县域农机购置与应用补贴相关信息系统管理；确保补贴系统高效规范安全运行。</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3．加大补贴政策宣传力度，做好信息公开工作。</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4．组织开展县乡补贴工作人员业务培训和廉政警示教育。</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w:t>
      </w:r>
      <w:r>
        <w:rPr>
          <w:rFonts w:hint="default" w:ascii="Times New Roman" w:hAnsi="Times New Roman" w:eastAsia="方正仿宋_GBK" w:cs="Times New Roman"/>
          <w:sz w:val="32"/>
          <w:szCs w:val="32"/>
          <w:highlight w:val="none"/>
          <w:lang w:val="en-US" w:eastAsia="zh-CN" w:bidi="ar-SA"/>
        </w:rPr>
        <w:t>组织</w:t>
      </w:r>
      <w:r>
        <w:rPr>
          <w:rFonts w:hint="default" w:ascii="Times New Roman" w:hAnsi="Times New Roman" w:eastAsia="方正仿宋_GBK" w:cs="Times New Roman"/>
          <w:sz w:val="32"/>
          <w:szCs w:val="32"/>
          <w:highlight w:val="none"/>
          <w:lang w:bidi="ar-SA"/>
        </w:rPr>
        <w:t>对补贴</w:t>
      </w:r>
      <w:r>
        <w:rPr>
          <w:rFonts w:hint="default" w:ascii="Times New Roman" w:hAnsi="Times New Roman" w:eastAsia="方正仿宋_GBK" w:cs="Times New Roman"/>
          <w:sz w:val="32"/>
          <w:szCs w:val="32"/>
          <w:highlight w:val="none"/>
          <w:lang w:val="en-US" w:eastAsia="zh-CN" w:bidi="ar-SA"/>
        </w:rPr>
        <w:t>相关</w:t>
      </w:r>
      <w:r>
        <w:rPr>
          <w:rFonts w:hint="default" w:ascii="Times New Roman" w:hAnsi="Times New Roman" w:eastAsia="方正仿宋_GBK" w:cs="Times New Roman"/>
          <w:sz w:val="32"/>
          <w:szCs w:val="32"/>
          <w:highlight w:val="none"/>
          <w:lang w:bidi="ar-SA"/>
        </w:rPr>
        <w:t>申请资料进行</w:t>
      </w:r>
      <w:r>
        <w:rPr>
          <w:rFonts w:hint="default" w:ascii="Times New Roman" w:hAnsi="Times New Roman" w:eastAsia="方正仿宋_GBK" w:cs="Times New Roman"/>
          <w:sz w:val="32"/>
          <w:szCs w:val="32"/>
          <w:highlight w:val="none"/>
          <w:lang w:val="en-US" w:eastAsia="zh-CN" w:bidi="ar-SA"/>
        </w:rPr>
        <w:t>受理、审验公示</w:t>
      </w:r>
      <w:r>
        <w:rPr>
          <w:rFonts w:hint="default" w:ascii="Times New Roman" w:hAnsi="Times New Roman" w:eastAsia="方正仿宋_GBK" w:cs="Times New Roman"/>
          <w:sz w:val="32"/>
          <w:szCs w:val="32"/>
          <w:highlight w:val="none"/>
          <w:lang w:bidi="ar-SA"/>
        </w:rPr>
        <w:t>，向县级财政部门提交资金兑付申请与有关材料，确保按规定时限办理。</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6．加强对高风险机具和成套设施装备等的抽查，重点对单一产品购置较为集中、单人多台套、短期内大批量、同一主体连年重复购置、机具适应性和购置数量与购机者生产经营服务所需不相符等情形进行查核。</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7．健全完善风险防控制度和内部控制规程，组织做好补贴异常情形报告、咨询投诉和违规调查处理等工作。</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8．加强绩效管理，做好补贴政策实施总结。</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9．探索补贴机具适应性评价制度，对本辖区内新进品牌机具进行适应性评价，形成评价报告。</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10．会同县级财政部门按要求严格控制累加补贴。</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11．会同有关部门加强对补贴机具经销企业监管，重点检查参与补贴政策实施的责任义务履行和承诺践诺情况，加大违法违规警示教育宣传。</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12．</w:t>
      </w:r>
      <w:r>
        <w:rPr>
          <w:rFonts w:hint="default" w:ascii="Times New Roman" w:hAnsi="Times New Roman" w:eastAsia="方正仿宋_GBK" w:cs="Times New Roman"/>
          <w:sz w:val="32"/>
          <w:szCs w:val="32"/>
          <w:highlight w:val="none"/>
          <w:lang w:val="en-US" w:eastAsia="zh-CN" w:bidi="ar-SA"/>
        </w:rPr>
        <w:t>组织</w:t>
      </w:r>
      <w:r>
        <w:rPr>
          <w:rFonts w:hint="default" w:ascii="Times New Roman" w:hAnsi="Times New Roman" w:eastAsia="方正仿宋_GBK" w:cs="Times New Roman"/>
          <w:sz w:val="32"/>
          <w:szCs w:val="32"/>
          <w:highlight w:val="none"/>
          <w:lang w:bidi="ar-SA"/>
        </w:rPr>
        <w:t>做好补贴政策实施过程中相关材料的收集、整理和归档工作。</w:t>
      </w:r>
    </w:p>
    <w:p>
      <w:pPr>
        <w:spacing w:line="560" w:lineRule="exact"/>
        <w:ind w:firstLine="640" w:firstLineChars="200"/>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（二）县级财政部门</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1．做到补贴资金专款专用，确保资金安全。</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2．按规定向符合要求的购机者兑付补贴资金，将兑付情况及时反馈县级农业农村部门。</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3．因资金不足或违法违规处理等原因需要延期兑付的，会同农业农村部门做细政策解读，告知并稳定购机者预期，同时联合向上报告资金供需情况。</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4．加强补贴资金监管。</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5．保障</w:t>
      </w:r>
      <w:r>
        <w:rPr>
          <w:rFonts w:hint="default" w:ascii="Times New Roman" w:hAnsi="Times New Roman" w:eastAsia="方正仿宋_GBK" w:cs="Times New Roman"/>
          <w:sz w:val="32"/>
          <w:szCs w:val="32"/>
          <w:highlight w:val="none"/>
          <w:lang w:val="en-US" w:eastAsia="zh-CN" w:bidi="ar-SA"/>
        </w:rPr>
        <w:t>县乡两</w:t>
      </w:r>
      <w:r>
        <w:rPr>
          <w:rFonts w:hint="default" w:ascii="Times New Roman" w:hAnsi="Times New Roman" w:eastAsia="方正仿宋_GBK" w:cs="Times New Roman"/>
          <w:sz w:val="32"/>
          <w:szCs w:val="32"/>
          <w:highlight w:val="none"/>
          <w:lang w:bidi="ar-SA"/>
        </w:rPr>
        <w:t>级补贴工作实施必要的组织管理经费，包括政策实施绩效考核、机具核验、信息化建设、第三方抽查核验等工作经费。</w:t>
      </w:r>
    </w:p>
    <w:p>
      <w:pPr>
        <w:spacing w:line="560" w:lineRule="exact"/>
        <w:ind w:firstLine="640" w:firstLineChars="200"/>
        <w:rPr>
          <w:rFonts w:hint="default" w:ascii="Times New Roman" w:hAnsi="Times New Roman" w:eastAsia="方正黑体_GBK" w:cs="Times New Roman"/>
          <w:sz w:val="32"/>
          <w:szCs w:val="32"/>
          <w:highlight w:val="none"/>
          <w:lang w:val="en-US" w:eastAsia="zh-CN" w:bidi="ar-SA"/>
        </w:rPr>
      </w:pPr>
      <w:r>
        <w:rPr>
          <w:rFonts w:hint="default" w:ascii="Times New Roman" w:hAnsi="Times New Roman" w:eastAsia="方正黑体_GBK" w:cs="Times New Roman"/>
          <w:sz w:val="32"/>
          <w:szCs w:val="32"/>
          <w:highlight w:val="none"/>
          <w:lang w:val="en-US" w:eastAsia="zh-CN" w:bidi="ar-SA"/>
        </w:rPr>
        <w:t>四、补贴机具生产、经销企业责任义务</w:t>
      </w:r>
    </w:p>
    <w:p>
      <w:pPr>
        <w:spacing w:line="560" w:lineRule="exact"/>
        <w:ind w:firstLine="640" w:firstLineChars="200"/>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（一）补贴机具生产企业</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1．遵守农机购置与应用补贴政策相关规定，合法合规经营，不得有骗补、套补违法违规行为。</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2．按照投档要求，通过农机购置与应用补贴机具信息化自主投档平台真实、准确投档，加强投档信息审核，不超范围投送产品、低档高投等造成品目和档次错误。</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3．自主确定和公布补贴产品经销企业，指导监督授权经销企业遵守补贴政策各项规定，并对经销企业的违规行为承担连带责任。</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4．正确宣传农机购置与应用补贴政策，供应符合规定的农机产品，自觉抵制和积极配合主管部门整治违规产品各种行业乱象，规范真实使用补贴产品标志标识。</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5．持续强化以质量保障能力为核心的工厂条件建设，确保出厂的每一件产品与鉴定（认证）和检测的样机保持一致。</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6．将补贴机具销售、售后服务、退换机等管理系统互联互通，定期与农机购置与应用补贴申请办理服务系统中本企业数据相互校核，筛查机具、补贴、所有人、使用人等信息是否相符相适。</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7．通过非现金方式与经销商结算补贴机具购机款，确保资金往来全程留痕备查。</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8．对经销商出具给农民和农业生产经营组织的发票、合格证等补贴申请资料和牌证申领资料进行核对，筛查补贴比例、发票金额、机具信息等是否真实有效、符合规定。</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9．加强内部管理，防范经销商和内部不法人员有组织地通过收集农民身份证明、虚开发票、虚购报补、重复报补等方式骗套、抢占补贴行为，发现异常情况后，主动自查自纠，并及时向农业农村部门报告。</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10．严格执行农机产销企业参与江苏省农机购置与应用补贴政策实施承诺制，主动报告异常情况，及时采取防范补救措施。</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11．承担违反政策规定所引起的纠纷和经济损失等后果，主动退回违规行为涉及的补贴资金，接受主管部门处理。</w:t>
      </w:r>
    </w:p>
    <w:p>
      <w:pPr>
        <w:spacing w:line="560" w:lineRule="exact"/>
        <w:ind w:firstLine="640" w:firstLineChars="200"/>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（二）补贴机具经销企业</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1．遵守农机购置与应用补贴政策相关规定，合法合规经营，不组织、不参与骗套补贴违法违规行为。</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2．正确宣传农机购置与应用补贴政策，供应符合规定的农机产品，自觉抵制和积极配合主管部门整治违规产品各种行业乱象，开具金额与实际销售价格相符的发票。</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3．规范真实使用补贴产品标志标识，按要求喷印监督标识，做好售后服务。</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4．协助做好补贴机具的安装、验收等工作，指导帮助购机者通过手机APP录入补贴申请信息，严禁代替购机者到主管部门办理补贴申请手续。</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5．通过非现金方式与生产企业结算补贴机具购机款，确保资金往来全程留痕备查。</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6．台账资料完整规范。</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7．对购机者符合规定的退（换）货要求，首先确认购机者尚未领取补贴或已将领取的补贴退回财政部门后，再为其办理退（换）货，并主动报告当地农业农村部门、财政部门。</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8．严格执行农机产销企业参与江苏省农机购置补贴政策实施承诺制，主动报告异常情形，及时采取防范补救措施。</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9．承担违反政策规定所引起的纠纷和经济损失等后果，主动退回违规行为涉及的补贴资金，接受主管部门处理。</w:t>
      </w:r>
    </w:p>
    <w:p>
      <w:pPr>
        <w:spacing w:line="560" w:lineRule="exact"/>
        <w:ind w:firstLine="640" w:firstLineChars="200"/>
        <w:rPr>
          <w:rFonts w:hint="default" w:ascii="Times New Roman" w:hAnsi="Times New Roman" w:eastAsia="方正黑体_GBK" w:cs="Times New Roman"/>
          <w:sz w:val="32"/>
          <w:szCs w:val="32"/>
          <w:highlight w:val="none"/>
          <w:lang w:val="en-US" w:eastAsia="zh-CN" w:bidi="ar-SA"/>
        </w:rPr>
      </w:pPr>
      <w:r>
        <w:rPr>
          <w:rFonts w:hint="default" w:ascii="Times New Roman" w:hAnsi="Times New Roman" w:eastAsia="方正黑体_GBK" w:cs="Times New Roman"/>
          <w:sz w:val="32"/>
          <w:szCs w:val="32"/>
          <w:highlight w:val="none"/>
          <w:lang w:val="en-US" w:eastAsia="zh-CN" w:bidi="ar-SA"/>
        </w:rPr>
        <w:t>五、购机者责任义务</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自主选择购买机具，按市场化原则自行与农机产销企业协商确定购机价格与支付方式，保留转账付款交易记录，原则上购机价格在5000元以上的鼓励非现金方式支付购机款，并对交易行为真实性、有效性和可能发生的纠纷承担法律责任。</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2．购置牌证管理机具的，按规定先行办理牌证手续。</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3．自主向当地农业农村部门提出补贴资金申领事项，签署告知承诺书，承诺购买行为、发票购机价格等信息真实有效，按相关规定申办补贴。</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4．在申请补贴时提供包括转账付款记录在内的申请资料，对提供申请资料的真实性负责。</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5．配合农业农村、财政等部门办理机具核验和抽查。</w:t>
      </w:r>
    </w:p>
    <w:p>
      <w:pPr>
        <w:spacing w:line="560" w:lineRule="exact"/>
        <w:ind w:firstLine="640" w:firstLineChars="200"/>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6．主动向当地农业农村部门报告发现的相关异常情况。如违反承诺及补贴政策有关要求，自愿接受处理并承担损失。</w:t>
      </w:r>
    </w:p>
    <w:p>
      <w:pPr>
        <w:spacing w:line="560" w:lineRule="exact"/>
        <w:ind w:firstLine="640" w:firstLineChars="200"/>
        <w:rPr>
          <w:rFonts w:hint="default" w:ascii="Times New Roman" w:hAnsi="Times New Roman" w:eastAsia="方正仿宋_GBK" w:cs="Times New Roman"/>
          <w:sz w:val="32"/>
          <w:szCs w:val="32"/>
          <w:highlight w:val="none"/>
          <w:lang w:val="en-US" w:eastAsia="zh-CN" w:bidi="ar-SA"/>
        </w:rPr>
      </w:pPr>
      <w:r>
        <w:rPr>
          <w:rFonts w:hint="default" w:ascii="Times New Roman" w:hAnsi="Times New Roman" w:eastAsia="方正仿宋_GBK" w:cs="Times New Roman"/>
          <w:sz w:val="32"/>
          <w:szCs w:val="32"/>
          <w:highlight w:val="none"/>
          <w:lang w:val="en-US" w:eastAsia="zh-CN" w:bidi="ar-SA"/>
        </w:rPr>
        <w:t>7</w:t>
      </w:r>
      <w:r>
        <w:rPr>
          <w:rFonts w:hint="default" w:ascii="Times New Roman" w:hAnsi="Times New Roman" w:eastAsia="方正仿宋_GBK" w:cs="Times New Roman"/>
          <w:sz w:val="32"/>
          <w:szCs w:val="32"/>
          <w:highlight w:val="none"/>
          <w:lang w:bidi="ar-SA"/>
        </w:rPr>
        <w:t>．</w:t>
      </w:r>
      <w:r>
        <w:rPr>
          <w:rFonts w:hint="default" w:ascii="Times New Roman" w:hAnsi="Times New Roman" w:eastAsia="方正仿宋_GBK" w:cs="Times New Roman"/>
          <w:sz w:val="32"/>
          <w:szCs w:val="32"/>
          <w:highlight w:val="none"/>
          <w:lang w:val="en-US" w:eastAsia="zh-CN" w:bidi="ar-SA"/>
        </w:rPr>
        <w:t>购机者在获得补贴后需要退货的，应当首先把补贴款项退还财政部门后，再办理退货手续。</w:t>
      </w:r>
    </w:p>
    <w:p>
      <w:pPr>
        <w:rPr>
          <w:rFonts w:hint="default" w:ascii="Times New Roman" w:hAnsi="Times New Roman" w:eastAsia="方正仿宋_GBK" w:cs="Times New Roman"/>
          <w:sz w:val="32"/>
          <w:szCs w:val="32"/>
          <w:highlight w:val="none"/>
        </w:rPr>
      </w:pPr>
    </w:p>
    <w:p>
      <w:bookmarkStart w:id="0" w:name="_GoBack"/>
      <w:bookmarkEnd w:id="0"/>
    </w:p>
    <w:sectPr>
      <w:headerReference r:id="rId3" w:type="default"/>
      <w:footerReference r:id="rId5" w:type="default"/>
      <w:headerReference r:id="rId4" w:type="even"/>
      <w:footerReference r:id="rId6" w:type="even"/>
      <w:pgSz w:w="11906" w:h="16838"/>
      <w:pgMar w:top="2098" w:right="1587" w:bottom="2098" w:left="1587" w:header="851" w:footer="1701" w:gutter="0"/>
      <w:pgNumType w:fmt="decimal"/>
      <w:cols w:space="720" w:num="1"/>
      <w:rtlGutter w:val="0"/>
      <w:docGrid w:type="lines" w:linePitch="57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ind w:right="246" w:rightChars="117"/>
      <w:rPr>
        <w:rFonts w:ascii="Times New Roman" w:hAnsi="Times New Roman"/>
        <w:sz w:val="28"/>
        <w:szCs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87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87400" cy="1828800"/>
                      </a:xfrm>
                      <a:prstGeom prst="rect">
                        <a:avLst/>
                      </a:prstGeom>
                      <a:noFill/>
                      <a:ln>
                        <a:noFill/>
                      </a:ln>
                    </wps:spPr>
                    <wps:txbx>
                      <w:txbxContent>
                        <w:p>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lIns="0" tIns="0" rIns="0" bIns="0" upright="0">
                      <a:spAutoFit/>
                    </wps:bodyPr>
                  </wps:wsp>
                </a:graphicData>
              </a:graphic>
            </wp:anchor>
          </w:drawing>
        </mc:Choice>
        <mc:Fallback>
          <w:pict>
            <v:shape id="_x0000_s1026" o:spid="_x0000_s1026" o:spt="202" type="#_x0000_t202" style="position:absolute;left:0pt;margin-top:0pt;height:144pt;width:62pt;mso-position-horizontal:outside;mso-position-horizontal-relative:margin;z-index:251659264;mso-width-relative:page;mso-height-relative:page;" filled="f" stroked="f" coordsize="21600,21600" o:gfxdata="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Ykadb0gAAAAUBAAAPAAAAAAAAAAEAIAAAACIAAABkcnMvZG93bnJldi54bWxQ&#10;SwECFAAUAAAACACHTuJAbeh92MQBAACMAwAADgAAAAAAAAABACAAAAAhAQAAZHJzL2Uyb0RvYy54&#10;bWxQSwUGAAAAAAYABgBZAQAAVwUAAAAA&#10;">
              <v:path/>
              <v:fill on="f" focussize="0,0"/>
              <v:stroke on="f"/>
              <v:imagedata o:title=""/>
              <o:lock v:ext="edit" aspectratio="f"/>
              <v:textbox inset="0mm,0mm,0mm,0mm" style="mso-fit-shape-to-text:t;">
                <w:txbxContent>
                  <w:p>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20" w:firstLineChars="150"/>
      <w:rPr>
        <w:rFonts w:ascii="Times New Roman" w:hAnsi="Times New Roman"/>
        <w:sz w:val="28"/>
        <w:szCs w:val="28"/>
        <w:lang w:eastAsia="zh-CN"/>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firstLine="280" w:firstLineChars="100"/>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3"/>
                      <w:ind w:firstLine="280" w:firstLineChars="100"/>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A73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keepNext w:val="0"/>
      <w:keepLines w:val="0"/>
      <w:widowControl w:val="0"/>
      <w:suppressLineNumbers w:val="0"/>
      <w:spacing w:before="0" w:beforeAutospacing="0" w:after="0" w:afterAutospacing="0" w:line="240" w:lineRule="auto"/>
      <w:ind w:left="0" w:firstLine="420"/>
      <w:jc w:val="both"/>
    </w:pPr>
    <w:rPr>
      <w:rFonts w:hint="default" w:ascii="Times New Roman" w:hAnsi="Times New Roman" w:eastAsia="宋体" w:cs="Times New Roman"/>
      <w:kern w:val="2"/>
      <w:sz w:val="21"/>
      <w:szCs w:val="20"/>
      <w:lang w:val="en-US" w:eastAsia="zh-CN" w:bidi="ar"/>
    </w:rPr>
  </w:style>
  <w:style w:type="paragraph" w:styleId="3">
    <w:name w:val="footer"/>
    <w:basedOn w:val="1"/>
    <w:uiPriority w:val="99"/>
    <w:pPr>
      <w:tabs>
        <w:tab w:val="center" w:pos="4153"/>
        <w:tab w:val="right" w:pos="8306"/>
      </w:tabs>
      <w:snapToGrid w:val="0"/>
      <w:jc w:val="left"/>
    </w:pPr>
    <w:rPr>
      <w:rFonts w:ascii="Calibri" w:hAnsi="Calibri"/>
      <w:kern w:val="0"/>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rFonts w:ascii="Calibri" w:hAnsi="Calibri"/>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2025-10-27T09:17:16Z</dcterms:created>
  <dc:creator>Administrator</dc:creator>
  <cp:lastModifiedBy>Administrator</cp:lastModifiedBy>
  <dcterms:modified xsi:type="dcterms:W3CDTF">2025-10-27T09:17:24Z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10454E91909946C48BA926B7E1901928</vt:lpwstr>
  </property>
</Properties>
</file>